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glossary/_rels/document.xml.rels" ContentType="application/vnd.openxmlformats-package.relationship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0" w:hanging="0"/>
        <w:jc w:val="right"/>
        <w:rPr>
          <w:rFonts w:ascii="Times New Roman" w:hAnsi="Times New Roman" w:eastAsia="Arial Unicode MS"/>
          <w:bCs/>
          <w:szCs w:val="20"/>
        </w:rPr>
      </w:pPr>
      <w:r>
        <w:rPr>
          <w:rFonts w:eastAsia="Arial Unicode MS" w:ascii="Times New Roman" w:hAnsi="Times New Roman"/>
          <w:bCs/>
          <w:szCs w:val="20"/>
        </w:rPr>
      </w:r>
    </w:p>
    <w:p>
      <w:pPr>
        <w:pStyle w:val="Normal"/>
        <w:ind w:left="0" w:hanging="0"/>
        <w:jc w:val="right"/>
        <w:rPr>
          <w:rFonts w:ascii="Times New Roman" w:hAnsi="Times New Roman" w:eastAsia="Arial Unicode MS"/>
          <w:bCs/>
          <w:szCs w:val="20"/>
        </w:rPr>
      </w:pPr>
      <w:r>
        <w:rPr>
          <w:rFonts w:eastAsia="Arial Unicode MS" w:ascii="Times New Roman" w:hAnsi="Times New Roman"/>
          <w:bCs/>
          <w:szCs w:val="20"/>
        </w:rPr>
      </w:r>
    </w:p>
    <w:tbl>
      <w:tblPr>
        <w:tblW w:w="10137" w:type="dxa"/>
        <w:jc w:val="left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8"/>
        <w:gridCol w:w="5528"/>
      </w:tblGrid>
      <w:tr>
        <w:trPr/>
        <w:tc>
          <w:tcPr>
            <w:tcW w:w="1013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ind w:left="70" w:right="0" w:hanging="0"/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 xml:space="preserve">Приложение № 13 к типовому шаблону договора оказания услуг с ТСО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pacing w:before="0" w:after="60"/>
              <w:ind w:left="70" w:right="0" w:hanging="0"/>
              <w:jc w:val="both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4608" w:type="dxa"/>
            <w:tcBorders/>
          </w:tcPr>
          <w:p>
            <w:pPr>
              <w:pStyle w:val="BodyText"/>
              <w:widowControl w:val="false"/>
              <w:snapToGrid w:val="false"/>
              <w:ind w:left="0" w:right="-766" w:hanging="0"/>
              <w:jc w:val="left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</w:rPr>
            </w:r>
          </w:p>
        </w:tc>
        <w:tc>
          <w:tcPr>
            <w:tcW w:w="552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pacing w:lineRule="auto" w:line="240"/>
              <w:ind w:left="70" w:right="0" w:hanging="0"/>
              <w:rPr>
                <w:rFonts w:ascii="Liberation Serif" w:hAnsi="Liberation Serif"/>
                <w:b/>
                <w:bCs/>
              </w:rPr>
            </w:pPr>
            <w:r>
              <w:rPr>
                <w:rFonts w:ascii="Liberation Serif" w:hAnsi="Liberation Serif"/>
                <w:b/>
                <w:bCs/>
              </w:rPr>
              <w:t>Приложение № 13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pacing w:lineRule="auto" w:line="240"/>
              <w:ind w:left="70" w:right="0" w:hanging="0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 xml:space="preserve">к Договору оказания услуг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pacing w:lineRule="auto" w:line="240"/>
              <w:ind w:left="70" w:right="0" w:hanging="0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по передаче электрической энергии (мощности)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pacing w:lineRule="auto" w:line="240" w:before="0" w:after="60"/>
              <w:ind w:left="70" w:right="0" w:hanging="0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от__________20__г. №__________</w:t>
            </w:r>
          </w:p>
        </w:tc>
      </w:tr>
    </w:tbl>
    <w:p>
      <w:pPr>
        <w:pStyle w:val="Normal"/>
        <w:spacing w:lineRule="auto" w:line="264"/>
        <w:ind w:left="0" w:hanging="0"/>
        <w:jc w:val="center"/>
        <w:rPr>
          <w:rFonts w:ascii="Times New Roman" w:hAnsi="Times New Roman" w:eastAsia="Arial Unicode MS"/>
          <w:b/>
          <w:bCs/>
          <w:caps/>
          <w:sz w:val="24"/>
        </w:rPr>
      </w:pPr>
      <w:r>
        <w:rPr>
          <w:rFonts w:eastAsia="Arial Unicode MS" w:ascii="Times New Roman" w:hAnsi="Times New Roman"/>
          <w:b/>
          <w:bCs/>
          <w:caps/>
          <w:sz w:val="24"/>
        </w:rPr>
      </w:r>
    </w:p>
    <w:p>
      <w:pPr>
        <w:pStyle w:val="Normal"/>
        <w:spacing w:lineRule="auto" w:line="264"/>
        <w:ind w:left="0" w:hanging="0"/>
        <w:jc w:val="center"/>
        <w:rPr>
          <w:rFonts w:ascii="Times New Roman" w:hAnsi="Times New Roman" w:eastAsia="Arial Unicode MS"/>
          <w:b/>
          <w:bCs/>
          <w:caps/>
          <w:sz w:val="24"/>
        </w:rPr>
      </w:pPr>
      <w:r>
        <w:rPr>
          <w:rFonts w:eastAsia="Arial Unicode MS" w:ascii="Times New Roman" w:hAnsi="Times New Roman"/>
          <w:b/>
          <w:bCs/>
          <w:caps/>
          <w:sz w:val="24"/>
        </w:rPr>
        <w:t xml:space="preserve">Регламент обмена документами в электронной форме </w:t>
      </w:r>
    </w:p>
    <w:p>
      <w:pPr>
        <w:pStyle w:val="Normal"/>
        <w:spacing w:lineRule="auto" w:line="264"/>
        <w:ind w:left="0" w:hanging="0"/>
        <w:jc w:val="center"/>
        <w:rPr>
          <w:rFonts w:ascii="Times New Roman" w:hAnsi="Times New Roman" w:eastAsia="Arial Unicode MS"/>
          <w:b/>
          <w:bCs/>
          <w:caps/>
          <w:sz w:val="24"/>
        </w:rPr>
      </w:pPr>
      <w:r>
        <w:rPr>
          <w:rFonts w:eastAsia="Arial Unicode MS" w:ascii="Times New Roman" w:hAnsi="Times New Roman"/>
          <w:b/>
          <w:bCs/>
          <w:caps/>
          <w:sz w:val="24"/>
        </w:rPr>
        <w:t>через операторов электронного документооборота</w:t>
      </w:r>
    </w:p>
    <w:p>
      <w:pPr>
        <w:pStyle w:val="Normal"/>
        <w:widowControl w:val="false"/>
        <w:spacing w:lineRule="auto" w:line="264"/>
        <w:ind w:left="0" w:hanging="0"/>
        <w:rPr>
          <w:rFonts w:ascii="Times New Roman" w:hAnsi="Times New Roman"/>
          <w:sz w:val="24"/>
          <w:lang w:eastAsia="en-US"/>
        </w:rPr>
      </w:pPr>
      <w:r>
        <w:rPr>
          <w:rFonts w:ascii="Times New Roman" w:hAnsi="Times New Roman"/>
          <w:sz w:val="24"/>
          <w:lang w:eastAsia="en-US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ПРЕДМЕТ РЕГЛАМЕНТА</w:t>
      </w:r>
    </w:p>
    <w:p>
      <w:pPr>
        <w:pStyle w:val="Normal"/>
        <w:widowControl w:val="false"/>
        <w:spacing w:lineRule="auto" w:line="264"/>
        <w:ind w:left="435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Предметом настоящего Регламента является определение порядка и условий взаимодействия Заказчика и Исполнителя в процессе обмена документами в электронной форме, перечень и форматы которых определены в Приложении № 1 к настоящему Регламенту, через Операторов электронного документооборота.</w:t>
      </w:r>
    </w:p>
    <w:p>
      <w:pPr>
        <w:pStyle w:val="Normal"/>
        <w:widowControl w:val="false"/>
        <w:spacing w:lineRule="auto" w:line="264"/>
        <w:ind w:left="709" w:hanging="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ind w:left="437" w:hanging="43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ТЕРМИНЫ И ОПРЕДЕЛЕНИЯ</w:t>
      </w:r>
    </w:p>
    <w:p>
      <w:pPr>
        <w:pStyle w:val="Normal"/>
        <w:widowControl w:val="false"/>
        <w:spacing w:lineRule="auto" w:line="264"/>
        <w:ind w:left="437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Электронный документ (ЭД, документ в электронной форме)</w:t>
      </w:r>
      <w:r>
        <w:rPr>
          <w:rFonts w:ascii="Times New Roman" w:hAnsi="Times New Roman"/>
          <w:bCs/>
          <w:iCs/>
          <w:sz w:val="24"/>
        </w:rPr>
        <w:t xml:space="preserve"> – документированная информация, предусмотренная Приложением № 1 к настоящему Регламенту,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 (подписываемая информация).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Электронная подпись (ЭП)</w:t>
      </w:r>
      <w:r>
        <w:rPr>
          <w:rFonts w:ascii="Times New Roman" w:hAnsi="Times New Roman"/>
          <w:bCs/>
          <w:iCs/>
          <w:sz w:val="24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Электронный документооборот (ЭДО)</w:t>
      </w:r>
      <w:r>
        <w:rPr>
          <w:rFonts w:ascii="Times New Roman" w:hAnsi="Times New Roman"/>
          <w:bCs/>
          <w:iCs/>
          <w:sz w:val="24"/>
        </w:rPr>
        <w:t xml:space="preserve"> - электронное взаимодействие Сторон, осуществляемое путем обмена электронными документами, подписанными квалифицированными электронными подписями.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Оператор электронного документооборота (Оператор ЭДО)</w:t>
      </w:r>
      <w:r>
        <w:rPr>
          <w:rFonts w:ascii="Times New Roman" w:hAnsi="Times New Roman"/>
          <w:bCs/>
          <w:iCs/>
          <w:sz w:val="24"/>
        </w:rPr>
        <w:t xml:space="preserve"> – российская организация, обладающая достаточными технологическими, кадровыми и правовыми возможностями для обеспечения юридически значимого документооборота в электронной форме с использованием квалифицированной электронной подписи между участниками электронного документооборота.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Аккредитованный удостоверяющий центр (Аккредитованный УЦ)</w:t>
      </w:r>
      <w:r>
        <w:rPr>
          <w:rFonts w:ascii="Times New Roman" w:hAnsi="Times New Roman"/>
          <w:bCs/>
          <w:iCs/>
          <w:sz w:val="24"/>
        </w:rPr>
        <w:t xml:space="preserve"> – юридическое лицо или индивидуальный предприниматель, осуществляющие функции по созданию и выдаче квалифицированных сертификатов ключей проверки электронной подписи, а также иные функции, предусмотренные Федеральным законом от 06.04.2011 № 63-ФЗ «Об электронной подписи» (далее – Закон об электронной подписи), прошедшее процедуру аккредитации – признания уполномоченным федеральным органом соответствия удостов</w:t>
      </w:r>
      <w:r>
        <w:rPr>
          <w:rFonts w:ascii="Times New Roman" w:hAnsi="Times New Roman"/>
          <w:bCs/>
          <w:iCs/>
          <w:sz w:val="24"/>
        </w:rPr>
        <w:fldChar w:fldCharType="begin"/>
      </w:r>
      <w:r>
        <w:rPr>
          <w:sz w:val="24"/>
          <w:iCs/>
          <w:bCs/>
          <w:rFonts w:ascii="Times New Roman" w:hAnsi="Times New Roman"/>
        </w:rPr>
        <w:instrText xml:space="preserve"> PAGE </w:instrText>
      </w:r>
      <w:r>
        <w:rPr>
          <w:sz w:val="24"/>
          <w:iCs/>
          <w:bCs/>
          <w:rFonts w:ascii="Times New Roman" w:hAnsi="Times New Roman"/>
        </w:rPr>
        <w:fldChar w:fldCharType="separate"/>
      </w:r>
      <w:r>
        <w:rPr>
          <w:sz w:val="24"/>
          <w:iCs/>
          <w:bCs/>
          <w:rFonts w:ascii="Times New Roman" w:hAnsi="Times New Roman"/>
        </w:rPr>
        <w:t>1</w:t>
      </w:r>
      <w:r>
        <w:rPr>
          <w:sz w:val="24"/>
          <w:iCs/>
          <w:bCs/>
          <w:rFonts w:ascii="Times New Roman" w:hAnsi="Times New Roman"/>
        </w:rPr>
        <w:fldChar w:fldCharType="end"/>
      </w:r>
      <w:r>
        <w:rPr>
          <w:rFonts w:ascii="Times New Roman" w:hAnsi="Times New Roman"/>
          <w:bCs/>
          <w:iCs/>
          <w:sz w:val="24"/>
        </w:rPr>
        <w:t>еряющего центра требованиям Закона об электронной подписи.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Направляющая Сторона</w:t>
      </w:r>
      <w:r>
        <w:rPr>
          <w:rFonts w:ascii="Times New Roman" w:hAnsi="Times New Roman"/>
          <w:bCs/>
          <w:iCs/>
          <w:sz w:val="24"/>
        </w:rPr>
        <w:t xml:space="preserve"> – Заказчик или Исполнитель, направляющая электронный документ по телекоммуникационным каналам связи другой Стороне.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Получающая Сторона</w:t>
      </w:r>
      <w:r>
        <w:rPr>
          <w:rFonts w:ascii="Times New Roman" w:hAnsi="Times New Roman"/>
          <w:bCs/>
          <w:iCs/>
          <w:sz w:val="24"/>
        </w:rPr>
        <w:t xml:space="preserve"> – Заказчик или Исполнитель, получающая от Направляющей Стороны электронный документ по телекоммуникационным каналам связи.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Владелец сертификата ключа проверки электронной подписи</w:t>
      </w:r>
      <w:r>
        <w:rPr>
          <w:rFonts w:ascii="Times New Roman" w:hAnsi="Times New Roman"/>
          <w:bCs/>
          <w:iCs/>
          <w:sz w:val="24"/>
        </w:rPr>
        <w:t xml:space="preserve"> – лицо, которому в установленном порядке выдан сертификат ключа проверки электронной подписи.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Средство усиленной электронной подписи</w:t>
      </w:r>
      <w:r>
        <w:rPr>
          <w:rFonts w:ascii="Times New Roman" w:hAnsi="Times New Roman"/>
          <w:bCs/>
          <w:iCs/>
          <w:sz w:val="24"/>
        </w:rPr>
        <w:t xml:space="preserve"> – сертифицированное средство криптографической защиты информации, обеспечивающее реализацию следующих функций: создание электронной подписи, проверку электронной подписи, создание ключа электронной подписи и ключа проверки электронной подписи. 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Сертификат средства электронной подписи</w:t>
      </w:r>
      <w:r>
        <w:rPr>
          <w:rFonts w:ascii="Times New Roman" w:hAnsi="Times New Roman"/>
          <w:bCs/>
          <w:iCs/>
          <w:sz w:val="24"/>
        </w:rPr>
        <w:t xml:space="preserve"> – документ на бумажном носителе, выданный в соответствии с правилами системы сертификации Российской Федерации для подтверждения соответствия средств электронной подписи установленным требованиям.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Ключ электронной подписи</w:t>
      </w:r>
      <w:r>
        <w:rPr>
          <w:rFonts w:ascii="Times New Roman" w:hAnsi="Times New Roman"/>
          <w:bCs/>
          <w:iCs/>
          <w:sz w:val="24"/>
        </w:rPr>
        <w:t xml:space="preserve"> – уникальная последовательность символов, предназначенная для создания электронной подписи.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Ключ проверки электронной подписи</w:t>
      </w:r>
      <w:r>
        <w:rPr>
          <w:rFonts w:ascii="Times New Roman" w:hAnsi="Times New Roman"/>
          <w:bCs/>
          <w:iCs/>
          <w:sz w:val="24"/>
        </w:rPr>
        <w:t xml:space="preserve"> – уникальная последовательность символов, однозначно связанная с ключом электронной подписи и предназначенная для проверки подлинности электронной подписи.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Сертификат ключа проверки электронной подписи</w:t>
      </w:r>
      <w:r>
        <w:rPr>
          <w:rFonts w:ascii="Times New Roman" w:hAnsi="Times New Roman"/>
          <w:bCs/>
          <w:iCs/>
          <w:sz w:val="24"/>
        </w:rPr>
        <w:t xml:space="preserve"> – электронный документ или документ на бумажном носителе, выданный удостоверяющим центром либо доверенным лицом удостоверяющего центра и подтверждающие принадлежность ключа проверки электронной подписи владельцу сертификата ключа проверки электронной подписи.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Квалифицированный сертификат ключа проверки электронной подписи</w:t>
      </w:r>
      <w:r>
        <w:rPr>
          <w:rFonts w:ascii="Times New Roman" w:hAnsi="Times New Roman"/>
          <w:bCs/>
          <w:iCs/>
          <w:sz w:val="24"/>
        </w:rPr>
        <w:t xml:space="preserve"> </w:t>
      </w:r>
      <w:r>
        <w:rPr>
          <w:rFonts w:ascii="Times New Roman" w:hAnsi="Times New Roman"/>
          <w:b/>
          <w:bCs/>
          <w:iCs/>
          <w:sz w:val="24"/>
        </w:rPr>
        <w:t>(Квалифицированный сертификат)</w:t>
      </w:r>
      <w:r>
        <w:rPr>
          <w:rFonts w:ascii="Times New Roman" w:hAnsi="Times New Roman"/>
          <w:bCs/>
          <w:iCs/>
          <w:sz w:val="24"/>
        </w:rPr>
        <w:t xml:space="preserve"> – сертификат ключа проверки электронной подписи, соответствующий требованиям, установленным Законом об электронной подписи и иными принимаемыми в соответствии с ним нормативными правовыми актами, и созданный аккредитованным удостоверяющим центром либо федеральным органом исполнительной власти, уполномоченным в сфере использования электронной подписи. 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>Подтверждение подлинности усиленной квалифицированной электронной подписи  электронного документа</w:t>
      </w:r>
      <w:r>
        <w:rPr>
          <w:rFonts w:ascii="Times New Roman" w:hAnsi="Times New Roman"/>
          <w:bCs/>
          <w:iCs/>
          <w:sz w:val="24"/>
        </w:rPr>
        <w:t xml:space="preserve"> – положительный результат проверки соответствующим сертифицированным средством электронной подписи с использованием квалифицированного сертификата ключа проверки электронной подписи принадлежности электронной подписи  электронного документа владельцу квалифицированного сертификата ключа проверки электронной подписи и отсутствия изменений в подписанном данной электронной подписью электронном документе.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/>
          <w:bCs/>
          <w:iCs/>
          <w:sz w:val="24"/>
        </w:rPr>
        <w:t xml:space="preserve">Роуминг </w:t>
      </w:r>
      <w:r>
        <w:rPr>
          <w:rFonts w:ascii="Times New Roman" w:hAnsi="Times New Roman"/>
          <w:bCs/>
          <w:iCs/>
          <w:sz w:val="24"/>
        </w:rPr>
        <w:t>– организация электронного документооборота между участниками информационного взаимодействия, которые работают в системах электронного документооборота, принадлежащих разным Операторам электронного документооборота.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Иные понятия, используемые в настоящем Регламенте, применяются в значениях, установленных законодательством Российской Федерации.</w:t>
      </w:r>
    </w:p>
    <w:p>
      <w:pPr>
        <w:pStyle w:val="Normal"/>
        <w:widowControl w:val="false"/>
        <w:spacing w:lineRule="auto" w:line="264"/>
        <w:ind w:left="0" w:firstLine="72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ind w:left="437" w:hanging="43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ОБЩИЕ ПОЛОЖЕНИЯ</w:t>
      </w:r>
    </w:p>
    <w:p>
      <w:pPr>
        <w:pStyle w:val="Normal"/>
        <w:widowControl w:val="false"/>
        <w:spacing w:lineRule="auto" w:line="264"/>
        <w:ind w:left="437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698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Взаимодействие Сторон по настоящему Регламенту осуществляется путем обмена электронными документами между Сторонами.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698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Электронные документы, которыми Стороны обмениваются должны быть подписаны усиленной квалифицированной электронной подписью.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698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целях осуществления электронного документооборота Заказчик и Исполнитель обязаны самостоятельно получить квалифицированные сертификаты ключей проверки электронной подписи в аккредитованном удостоверяющем центре в порядке, предусмотренном Законом об электронной подписи.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698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целях осуществления электронного документооборота Стороны руководствуются Гражданским кодексом Российской Федерации, Налоговым кодексом Российской Федерации, Федеральным законом от 06.04.2011 № 63-ФЗ «Об электронной подписи», Федеральным законом от 06.12.2011 № 402-ФЗ «О бухгалтерском учете», постановлением Правительства Российской Федерации от 26.12.2011 № 1137 «О формах и правилах заполнения (ведения) документов, применяемых при расчетах по налогу на добавленную стоимость» (далее – Постановление Правительства Российской Федерации № 1137). При этом в случае принятия и вступления в силу иных нормативных правовых актов, изменяющих либо отменяющих положения указанных выше актов, Стороны руководствуются положениями вступивших в силу нормативных правовых актов.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698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случае если в целях обмена электронными документами Стороны пользуются услугами различных Операторов электронного документооборота, обмен электронными документами осуществляется с использованием технологии роуминга.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698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Операторы электронного документооборота, услугами которых пользуются Стороны, должны соответствовать требованиям, утверждаемым федеральным органом исполнительной власти, уполномоченным осуществлять функции по контролю и надзору в сфере налогов и сборов.</w:t>
      </w:r>
    </w:p>
    <w:p>
      <w:pPr>
        <w:pStyle w:val="Normal"/>
        <w:widowControl w:val="false"/>
        <w:spacing w:lineRule="auto" w:line="264"/>
        <w:ind w:left="698" w:hanging="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ind w:left="437" w:hanging="43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ПРАВА И ОБЯЗАННОСТИ СТОРОН</w:t>
      </w:r>
    </w:p>
    <w:p>
      <w:pPr>
        <w:pStyle w:val="Normal"/>
        <w:widowControl w:val="false"/>
        <w:spacing w:lineRule="auto" w:line="264"/>
        <w:ind w:left="437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Стороны осуществляют обмен документами в электронной форме в соответствии договорными отношениями между Сторонами и Операторами электронного документооборота.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Стороны вправе запрашивать у другой Стороны документы, подтверждающие полномочия лиц, осуществляющих подписание усиленной квалифицированной электронной подписью электронных документов.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Стороны обязуются: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  <w:tab w:val="left" w:pos="1134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соблюдать условия конфиденциальности, установленные разделом 10 настоящего Регламента;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  <w:tab w:val="left" w:pos="1134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соблюдать требования эксплуатационной документации на средство электронной подписи;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  <w:tab w:val="left" w:pos="1134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содержать в исправном состоянии программно-технические средства, которые подключены к системе электронного документооборота, принимать необходимые и достаточные меры для предотвращения несанкционированного доступа к программному обеспечению и средствам криптографической защиты информации;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  <w:tab w:val="left" w:pos="1134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незамедлительно сообщать Оператору электронного документооборота и другой Стороне обо всех попытках несанкционированного доступа к программному обеспечению и средствам криптографической защиты информации;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  <w:tab w:val="left" w:pos="1134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своевременно уведомлять другую Сторону об изменении любых сведений, в случае, если изменение таких сведений может повлиять на корректность сведений, а также своевременное получение или направление такой стороной любой информации, подлежащей направлению в соответствии с настоящим Регламентом, в том числе, электронных документов;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  <w:tab w:val="left" w:pos="1134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самостоятельно обеспечивать хранение направленных и полученных электронных документов в течение сроков, установленных законодательством Российской Федерации;</w:t>
      </w:r>
    </w:p>
    <w:p>
      <w:pPr>
        <w:pStyle w:val="Normal"/>
        <w:widowControl w:val="false"/>
        <w:numPr>
          <w:ilvl w:val="1"/>
          <w:numId w:val="3"/>
        </w:numPr>
        <w:spacing w:lineRule="auto" w:line="264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течение 3 (трех) рабочих дней с момента предоставления полномочий лицам, осуществляющим подписание усиленной квалифицированной электронной подписью электронных документов, предоставлять другой Стороне документы, подтверждающие указанные полномочия;</w:t>
      </w:r>
    </w:p>
    <w:p>
      <w:pPr>
        <w:pStyle w:val="Normal"/>
        <w:widowControl w:val="false"/>
        <w:numPr>
          <w:ilvl w:val="1"/>
          <w:numId w:val="3"/>
        </w:numPr>
        <w:spacing w:lineRule="auto" w:line="264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течение 3 (трех) рабочих дней с момента получения запроса другой Стороны предоставлять ей документы, подтверждающие полномочия лиц, осуществляющих подписание усиленной квалифицированной электронной подписью электронных документов;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  <w:tab w:val="left" w:pos="1134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незамедлительно информировать друг друга о невозможности обмена документами в электронной форме, подписанными усиленной квалифицированной электронной подписью, в том числе в случае технического сбоя внутренних систем Стороны, а также приложить все усилия к устранению причин невозможности осуществления ЭДО и после их устранения уведомить другую Сторону о возобновлении электронного документооборота с указанием соответствующей даты.</w:t>
      </w:r>
    </w:p>
    <w:p>
      <w:pPr>
        <w:pStyle w:val="Normal"/>
        <w:widowControl w:val="false"/>
        <w:tabs>
          <w:tab w:val="clear" w:pos="708"/>
          <w:tab w:val="left" w:pos="1134" w:leader="none"/>
        </w:tabs>
        <w:spacing w:lineRule="auto" w:line="264"/>
        <w:ind w:left="1134" w:hanging="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ind w:left="437" w:hanging="43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ПРИМЕНЕНИЕ ЭЛЕКТРОННОЙ ПОДПИСИ</w:t>
      </w:r>
    </w:p>
    <w:p>
      <w:pPr>
        <w:pStyle w:val="Normal"/>
        <w:widowControl w:val="false"/>
        <w:spacing w:lineRule="auto" w:line="264"/>
        <w:ind w:left="437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 xml:space="preserve">Информация в электронной форме, подписанная усиленной квалифицированной электронной подписью, признается Сторонами электронным документом, равнозначным документу на бумажном носителе, подписанному собственноручной подписью </w:t>
      </w:r>
      <w:r>
        <w:rPr>
          <w:rFonts w:ascii="Times New Roman" w:hAnsi="Times New Roman"/>
          <w:sz w:val="24"/>
        </w:rPr>
        <w:t xml:space="preserve">и заверенному оттиском печати, </w:t>
      </w:r>
      <w:r>
        <w:rPr>
          <w:rFonts w:ascii="Times New Roman" w:hAnsi="Times New Roman"/>
          <w:bCs/>
          <w:iCs/>
          <w:sz w:val="24"/>
        </w:rPr>
        <w:t>при условии соблюдения требований раздела 7 настоящего Регламента.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Получение электронного документа, подписанного усиленной квалифицированной электронной подписью и наличие положительного результата проверки принадлежности владельцу квалифицированного сертификата квалифицированной электронной подписи, с помощью которой подписан электронный документ и подтверждено отсутствие изменений, внесенных в этот документ после его подписания, является необходимым и достаточным условием, позволяющим установить, что электронный документ исходит от Стороны, его отправившей.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Риск неправомерного подписания электронного документа усиленной квалифицированной электронной подписью несет Сторона, уполномоченный представитель которой является владельцем квалифицированного сертификата ключа проверки электронной подписи.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Стороны обязуются использовать, принимать и признавать квалифицированные сертификаты ключей проверки электронной подписи, изданные аккредитованными удостоверяющими центрами.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рамках настоящего Регламента электронный документ может быть подписан только усиленной квалифицированной электронной подписью, ключ проверки электронной подписи должен быть зарегистрирован аккредитованным удостоверяющим центром для идентифицированного и аутентифицированного лица и включен им в квалифицированный сертификат ключа проверки электронной подписи.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Подписание электронного документа, аналог которого на бумажном носителе должен содержать подписи обеих Сторон, осуществляется путем последовательного подписания данного электронного документа каждой из Сторон.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Любой электронный документ, который должен быть подписан электронной подписью, но не содержащий электронной подписи, не влечет правовых последствий.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Организация электронного документооборота между Сторонами не отменяет возможности использования иных способов изготовления и обмена документами между Сторонами в рамках обязательств, предусмотренных договором.</w:t>
      </w:r>
    </w:p>
    <w:p>
      <w:pPr>
        <w:pStyle w:val="Normal"/>
        <w:widowControl w:val="false"/>
        <w:spacing w:lineRule="auto" w:line="264"/>
        <w:ind w:left="709" w:hanging="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ind w:left="437" w:hanging="43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СРЕДСТВО ЭЛЕКТРОННОЙ ПОДПИСИ</w:t>
      </w:r>
    </w:p>
    <w:p>
      <w:pPr>
        <w:pStyle w:val="Normal"/>
        <w:widowControl w:val="false"/>
        <w:spacing w:lineRule="auto" w:line="264"/>
        <w:ind w:left="437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iCs/>
          <w:sz w:val="24"/>
        </w:rPr>
        <w:t>Стороны обязуются за свой счет получить квалифицированные сертификаты ключей проверки электронной подписи и обеспечить наличие таких действующих сертификатов в течение всего срока действия Договора.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 xml:space="preserve">Условия использования средств электронной подписи, порядок проверки электронной подписи, правила обращения с ключами и сертификатами усиленной квалифицированной электронной подписи устанавливаются нормативными документами (регламентами) удостоверяющих центров, выдавших сертификаты ключей проверки электронной подписи, по данным вопросам Стороны руководствуются нормативными документами (регламентами) соответствующих удостоверяющих центров. 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Стороны обязуются в качестве средства электронной подписи при выполнении функций создания электронной подписи в электронном документе с использованием ключа электронной подписи, подтверждения с использованием ключа проверки электронной подписи подлинности электронной подписи в электронном документе, создания ключей подписи и ключей проверки подписи использовать сертифицированные средства криптографической защиты информации, полученные законным путем, в соответствии с требованиями формуляров на указанные изделия.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Стороны обязуются обеспечивать сохранение в тайне ключей электронной подписи.</w:t>
      </w:r>
    </w:p>
    <w:p>
      <w:pPr>
        <w:pStyle w:val="Normal"/>
        <w:widowControl w:val="false"/>
        <w:spacing w:lineRule="auto" w:line="264"/>
        <w:ind w:left="709" w:hanging="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ind w:left="437" w:hanging="43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УСЛОВИЯ РАВНОЗНАЧНОСТИ ЭЛЕКТРОННОЙ ПОДПИСИ СОБСТВЕННОРУЧНОЙ</w:t>
      </w:r>
    </w:p>
    <w:p>
      <w:pPr>
        <w:pStyle w:val="Normal"/>
        <w:widowControl w:val="false"/>
        <w:spacing w:lineRule="auto" w:line="264"/>
        <w:ind w:left="437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Усиленная квалифицированная электронная подпись в электронном документе равнозначна собственноручной подписи владельца сертификата ключа проверки электронной подписи при одновременном выполнении следующих условий: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  <w:tab w:val="left" w:pos="1134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федеральными законами или принимаемыми в соответствии с ними нормативными правовыми актами не установлено требование о составлении подписываемого данной электронной подписью документа исключительно на бумажном носителе;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  <w:tab w:val="left" w:pos="1134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квалифицированный 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  <w:tab w:val="left" w:pos="1134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  <w:tab w:val="left" w:pos="1134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имеется положительный результат проверки принадлежности владельцу квалифицированного сертификата усиленной квалифицированной электронной подписи,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средств электронной подписи, имеющих подтверждение соответствия требованиям, установленным в соответствии с Законом об электронной подписи, и с использованием квалифицированного сертификата лица, подписавшего электронный документ;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  <w:tab w:val="left" w:pos="1134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усиленная квалифицированная электронная подпись используется с учетом ограничений, содержащихся в квалифицированном сертификате лица, подписывающего электронный документ (если такие ограничения установлены).</w:t>
      </w:r>
    </w:p>
    <w:p>
      <w:pPr>
        <w:pStyle w:val="Normal"/>
        <w:widowControl w:val="false"/>
        <w:tabs>
          <w:tab w:val="clear" w:pos="708"/>
          <w:tab w:val="left" w:pos="1134" w:leader="none"/>
        </w:tabs>
        <w:spacing w:lineRule="auto" w:line="264"/>
        <w:ind w:left="1134" w:hanging="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ind w:left="437" w:hanging="43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ВЗАИМОДЕЙСТВИЕ С ОПЕРАТОРАМИ ЭЛЕКТРОННОГО ДОКУМЕНТООБОРОТА</w:t>
      </w:r>
    </w:p>
    <w:p>
      <w:pPr>
        <w:pStyle w:val="Normal"/>
        <w:widowControl w:val="false"/>
        <w:spacing w:lineRule="auto" w:line="264"/>
        <w:ind w:left="437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До начала осуществления обмена электронными документами каждая из Сторон обязуется в установленном порядке обеспечить подключение к системе электронного документооборота Оператора электронного документооборота, в том числе заключить соответствующие договоры, оформить и представить Оператору электронного документооборота заявление об участии в электронном документообороте, а также получить у Оператора электронного документооборота идентификатор участника обмена, реквизиты доступа и другие необходимые данные, о чем уведомляет другую Сторону. В уведомлении указывается идентификатор участника обмена.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случае если в целях обмена электронными документами Стороны пользуются услугами различных Операторов электронного документооборота, такие Операторы электронного документооборота должны соответствовать следующим критериям: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между такими операторами заключено роуминговое соглашение;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720" w:leader="none"/>
          <w:tab w:val="left" w:pos="1134" w:leader="none"/>
        </w:tabs>
        <w:spacing w:lineRule="auto" w:line="264"/>
        <w:ind w:left="1134" w:hanging="425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Операторами ЭДО, услугами которых пользуются Стороны, подтверждена техническая возможность для приема и передачи всех документов, перечень и форматы которых определен в Приложении № 1 к настоящему Регламенту, в электронном виде в соответствии с определенным форматом.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Последствия прекращения соответствия Оператора электронного документооборота требованиям, утверждаемым федеральным органом исполнительной власти, уполномоченным осуществлять функции по контролю и надзору в сфере налогов и сборов, регулируются в рамках соответствующих договорных отношений между Сторонами и Операторами электронного документооборота.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случае прекращения роуминговых отношений между Операторами электронного документооборота, услугами которых пользуются Стороны, равно как и в случае невозможности обмена электронными документами вследствие прекращения таких отношений, а также в случае, если любая из Сторон не предоставила согласие на предоставление формируемых ею документов Оператору ЭДО, услугами которого пользуется другая Сторона, Стороны осуществляют обмен документами на бумажном носителе с подписанием их собственноручной подписью.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случае если Сторона намеревается сменить Оператора электронного документооборота, услугами которого она пользуется, такая Сторона обязана до начала обмена электронными документами посредством нового Оператора электронного документооборота предоставить другой Стороне документы и сведения, предусмотренные пунктами 8.1 настоящего Регламента.</w:t>
      </w:r>
    </w:p>
    <w:p>
      <w:pPr>
        <w:pStyle w:val="Normal"/>
        <w:widowControl w:val="false"/>
        <w:spacing w:lineRule="auto" w:line="264"/>
        <w:ind w:left="709" w:hanging="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ind w:left="437" w:hanging="43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ПОРЯДОК ПРЕДОСТАВЛЕНИЯ (ВЫСТАВЛЕНИЯ, НАПРАВЛЕНИЯ, ПЕРЕДАЧИ, ПОДАЧИ) ОТДЕЛЬНЫХ ВИДОВ ДОКУМЕНТОВ</w:t>
      </w:r>
    </w:p>
    <w:p>
      <w:pPr>
        <w:pStyle w:val="Normal"/>
        <w:widowControl w:val="false"/>
        <w:spacing w:lineRule="auto" w:line="264"/>
        <w:ind w:left="437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Документы в электронной форме выставляются (направляются) Сторонами не позднее срока, определенного в Приложении № 1 к настоящему Регламенту.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При выставлении и получении счетов-фактур в электронной форме Стороны руководствуются Порядком выставления и получения счетов-фактур в электронной форме по телекоммуникационным каналам связи с применением усиленной квалифицированной электронной подписи, утвержденным приказом Минфина России от 05 февраля 2021 года № 14н.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При составлении, подписании и направлении Сторонами друг другу электронных документов, поименованных в Приложении №1 к настоящему Регламенту, Стороны руководствуются настоящим Регламентом, правилами электронного документооборота Оператора электронного документооборота, с которым у Стороны заключен соответствующий договор.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Документы в электронной форме, поименованные в Приложении № 1 к настоящему Регламенту, считаются доставленными Стороне при получении направляющей Стороной подтверждения о получении от Оператора электронного документооборота, с которым у получающей Стороны заключен соответствующий договор. Указанное подтверждение должно быть подписано квалифицированной электронной подписью Оператора электронного документооборота с указанием даты и времени поступления электронного документа, поименованного в Приложении № 1 к настоящему Регламенту, такому Оператору электронного документооборота.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sz w:val="24"/>
        </w:rPr>
        <w:t>Исправление ранее направленного электронного документа производится путем выставления нового экземпляра документа, в котором указывается номер и дата документа, составленного до внесения в него исправлений, а также порядковый номер и дата исправления.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sz w:val="24"/>
        </w:rPr>
        <w:t xml:space="preserve">В случае если документ в электронной форме был признан направляющей Стороной ошибочно сформированным, направляющая Сторона обязана уведомить получающую Сторону о данном факте в течение </w:t>
      </w:r>
      <w:r>
        <w:rPr>
          <w:rFonts w:ascii="Times New Roman" w:hAnsi="Times New Roman"/>
          <w:iCs/>
          <w:sz w:val="24"/>
        </w:rPr>
        <w:t>одного</w:t>
      </w:r>
      <w:r>
        <w:rPr>
          <w:rFonts w:ascii="Times New Roman" w:hAnsi="Times New Roman"/>
          <w:sz w:val="24"/>
        </w:rPr>
        <w:t xml:space="preserve"> рабочего дня с момента обнаружения ошибки путем направления уведомления с указанием причин ошибочного направления документа в электронной форме </w:t>
      </w:r>
      <w:r>
        <w:rPr>
          <w:rFonts w:ascii="Times New Roman" w:hAnsi="Times New Roman"/>
          <w:bCs/>
          <w:iCs/>
          <w:sz w:val="24"/>
        </w:rPr>
        <w:t>с использованием средств оперативной связи.</w:t>
      </w:r>
      <w:r>
        <w:rPr>
          <w:rFonts w:ascii="Times New Roman" w:hAnsi="Times New Roman"/>
          <w:i/>
          <w:iCs/>
          <w:sz w:val="24"/>
        </w:rPr>
        <w:t xml:space="preserve"> </w:t>
      </w:r>
      <w:r>
        <w:rPr>
          <w:rFonts w:ascii="Times New Roman" w:hAnsi="Times New Roman"/>
          <w:sz w:val="24"/>
        </w:rPr>
        <w:t>Такой документ признается Сторонами аннулированным и не имеющим юридической силы с момента подтверждения получения уведомления получающей Стороной, направленного</w:t>
      </w:r>
      <w:r>
        <w:rPr>
          <w:rFonts w:ascii="Times New Roman" w:hAnsi="Times New Roman"/>
          <w:bCs/>
          <w:iCs/>
          <w:sz w:val="24"/>
        </w:rPr>
        <w:t xml:space="preserve"> с использованием средств оперативной связи</w:t>
      </w:r>
      <w:r>
        <w:rPr>
          <w:rFonts w:ascii="Times New Roman" w:hAnsi="Times New Roman"/>
          <w:sz w:val="24"/>
        </w:rPr>
        <w:t>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bookmarkStart w:id="0" w:name="Par2"/>
      <w:bookmarkStart w:id="1" w:name="Par0"/>
      <w:bookmarkEnd w:id="0"/>
      <w:bookmarkEnd w:id="1"/>
      <w:r>
        <w:rPr>
          <w:rFonts w:ascii="Times New Roman" w:hAnsi="Times New Roman"/>
          <w:bCs/>
          <w:iCs/>
          <w:sz w:val="24"/>
        </w:rPr>
        <w:t>Организация электронного документооборота между Сторонами не лишает Стороны права выставления документов, поименованных в Приложении № 1 к настоящему Регламенту, на бумажном носителе. В случае выставления (направления) направляющей Стороной и получения получающей Стороной документов на бумажном носителе их перевыставление (повторное направление) в электронной форме не допускается.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134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случае если направляемые Стороной документы в электронной форме не могут быть приняты другой Стороной без разногласий, Стороны, при наличии у Операторов Сторон такой технической возможности, осуществляют подписание электронных документов с разногласиями. В случае если техническая возможность подписать электронный документ с разногласиями отсутствует, Стороны подписывают документы с разногласиями в бумажном виде.</w:t>
      </w:r>
    </w:p>
    <w:p>
      <w:pPr>
        <w:pStyle w:val="Normal"/>
        <w:widowControl w:val="false"/>
        <w:spacing w:lineRule="auto" w:line="264"/>
        <w:ind w:left="709" w:hanging="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ind w:left="437" w:hanging="43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КОНФИДЕНЦИАЛЬНОСТЬ</w:t>
      </w:r>
    </w:p>
    <w:p>
      <w:pPr>
        <w:pStyle w:val="Normal"/>
        <w:widowControl w:val="false"/>
        <w:spacing w:lineRule="auto" w:line="264"/>
        <w:ind w:left="437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Информация и документы, обмен которыми осуществляется между Сторонами, передаются в зашифрованном или незашифрованном виде. Стороны обязуются обеспечивать конфиденциальность ключа электронной подписи, владельцем которого является уполномоченный представитель Стороны, незамедлительно информировать Оператора электронного документооборота и другую сторону о факте компрометации ключа электронной подписи с использованием средств оперативной связи, с доставкой оригинала на бумажном носителе и прекратить его использование.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Если в квалифицированном сертификате ключа проверки электронной подписи не указан орган или  физическое лицо, действующее от имени Направляющей Стороны при подписании электронного документа, а равно в случае, если имел место факт компрометации ключа электронной подписи, владельцем которого является уполномоченный представитель Направляющей Стороны, и Направляющая Сторона не уведомила об этом Получающую Сторону, то в каждом случае получения подписанного электронного документа Получающая Сторона добросовестно исходит из того, что документ подписан от имени Направляющей Стороны надлежащим лицом, действующим в пределах имеющихся у него полномочий.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Сторона, нарушившая условия о конфиденциальности ключа электронной подписи, обязана возместить другой Стороне возникшие в результате такого нарушения убытки.</w:t>
      </w:r>
    </w:p>
    <w:p>
      <w:pPr>
        <w:pStyle w:val="Normal"/>
        <w:widowControl w:val="false"/>
        <w:spacing w:lineRule="auto" w:line="264"/>
        <w:ind w:left="709" w:hanging="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ind w:left="437" w:hanging="43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ОТВЕТСТВЕННОСТЬ СТОРОН</w:t>
      </w:r>
    </w:p>
    <w:p>
      <w:pPr>
        <w:pStyle w:val="Normal"/>
        <w:widowControl w:val="false"/>
        <w:spacing w:lineRule="auto" w:line="264"/>
        <w:ind w:left="437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iCs/>
          <w:sz w:val="24"/>
        </w:rPr>
        <w:t>Каждая из Сторон несет ответственность за неисполнение или ненадлежащее исполнение своих обязательств в соответствии с законодательством Российской Федерации.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Усиленная квалифицированная электронная подпись, которой подписан электронный документ, признается действительной до тех пор, пока решением суда не установлено иное.</w:t>
      </w:r>
    </w:p>
    <w:p>
      <w:pPr>
        <w:pStyle w:val="Normal"/>
        <w:widowControl w:val="false"/>
        <w:spacing w:lineRule="auto" w:line="264"/>
        <w:ind w:left="709" w:hanging="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ind w:left="437" w:hanging="43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ОБСТОЯТЕЛЬСТВА, ОСВОБОЖДАЮЩИЕ ОТ ОТВЕТСТВЕННОСТИ</w:t>
      </w:r>
    </w:p>
    <w:p>
      <w:pPr>
        <w:pStyle w:val="Normal"/>
        <w:widowControl w:val="false"/>
        <w:spacing w:lineRule="auto" w:line="264"/>
        <w:ind w:left="437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Каждая из Сторон освобождается от ответственности за полное или частичное неисполнение обязательств, если такое неисполнение явилось результатом действия чрезвычайных и непредотвратимых при данных условиях обстоятельств (обстоятельств непреодолимой силы). В случае наступления таких обстоятельств течение срока исполнения обязательств приостанавливается на время действия обстоятельств непреодолимой силы.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bookmarkStart w:id="2" w:name="_Ref40666627"/>
      <w:r>
        <w:rPr>
          <w:rFonts w:ascii="Times New Roman" w:hAnsi="Times New Roman"/>
          <w:bCs/>
          <w:iCs/>
          <w:sz w:val="24"/>
        </w:rPr>
        <w:t xml:space="preserve">Сторона, затронутая обстоятельствами непреодолимой силы, обязана предпринять все возможные меры с целью максимально ограничить негативные последствия, вызванные указанными обстоятельствами и не позднее 3 (трех) рабочих дней со дня возникновения таких обстоятельств известить другие Стороны </w:t>
      </w:r>
      <w:bookmarkEnd w:id="2"/>
      <w:r>
        <w:rPr>
          <w:rFonts w:ascii="Times New Roman" w:hAnsi="Times New Roman"/>
          <w:bCs/>
          <w:iCs/>
          <w:sz w:val="24"/>
        </w:rPr>
        <w:t>с использованием средств оперативной связи, с доставкой оригинала на бумажном носителе.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Отсутствие уведомления или несвоевременное уведомление лишает Сторону, действия которой подпали под обстоятельства непреодолимой силы, права на освобождение от ответственности за неисполнение обязательств по настоящему Регламенту.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Каждая из Сторон освобождается от ответственности за нарушение своих обязательств по настоящему Регламенту, если в своих действиях (бездействии) она обоснованно полагалась на документы, переданные ей другой Стороной или компетентными государственными органами.</w:t>
      </w:r>
    </w:p>
    <w:p>
      <w:pPr>
        <w:pStyle w:val="Normal"/>
        <w:widowControl w:val="false"/>
        <w:spacing w:lineRule="auto" w:line="264"/>
        <w:ind w:left="709" w:hanging="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ind w:left="437" w:hanging="43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ПОРЯДОК РАЗРЕШЕНИЯ СПОРОВ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случае возникновения споров и разногласий между Сторонами в связи с использованием электронной подписи Стороны предпримут все меры для их разрешения путем переговоров.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Любой электронный документ, подписанный с применением усиленной квалифицированной электронной подписи одной или несколькими Сторонами, может быть использован в качестве письменного доказательства в судах общей юрисдикции и арбитражных судах РФ, в налоговых органах, других органах государственной власти.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качестве письменного доказательства в органы, указанные в п. 13.2 настоящего Регламента, предоставляется копия подписанного c применением электронной подписи электронного документа на бумажном носителе, изготовленная в соответствии с требованиями, установленными в рамках соответствующих договорных отношений между Сторонами и Операторами электронного документооборота.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случае возникновения споров о наличии электронной подписи в электронном документе бремя доказывания лежит на Стороне, не соглашающейся с наличием электронной подписи.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случае возникновения споров о факте внесения изменений в электронный документ после его подписания электронной подписью бремя доказывания лежит на Стороне, утверждающей, что в данный электронный документ были внесены изменения после его подписания электронной подписью владельцем сертификата ключа проверки электронной подписи, который является уполномоченным представителем Стороны.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В случае возникновения споров о факте получения одной из Сторон какого-либо электронного документа, подписанного электронной подписью, от другой Стороны, бремя доказывания лежит на Стороне, не соглашающейся с фактом получения электронного документа, подписанного электронной подписью.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При разрешении в претензионном порядке споров, связанных с оспариванием наличия и (или) подлинности электронной подписи, в обязательном порядке производится экспертиза, для осуществления которой привлекается аккредитованный удостоверяющий центр, изготовивший сертификат ключа подписи, с использованием которого была сформирована электронная подпись.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Экспертиза проводится в порядке, установленном договорами, регулирующими отношения Сторон настоящего Соглашения с соответствующими аккредитованными удостоверяющими центрами.</w:t>
      </w:r>
    </w:p>
    <w:p>
      <w:pPr>
        <w:pStyle w:val="Normal"/>
        <w:widowControl w:val="false"/>
        <w:spacing w:lineRule="auto" w:line="264"/>
        <w:ind w:left="709" w:hanging="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Normal"/>
        <w:widowControl w:val="false"/>
        <w:numPr>
          <w:ilvl w:val="0"/>
          <w:numId w:val="2"/>
        </w:numPr>
        <w:spacing w:lineRule="auto" w:line="264"/>
        <w:ind w:left="437" w:hanging="43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СООБЩЕНИЯ И УВЕДОМЛЕНИЯ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76" w:leader="none"/>
        </w:tabs>
        <w:spacing w:lineRule="auto" w:line="264"/>
        <w:ind w:left="0" w:firstLine="709"/>
        <w:rPr>
          <w:rFonts w:ascii="Times New Roman" w:hAnsi="Times New Roman"/>
          <w:bCs/>
          <w:iCs/>
          <w:sz w:val="24"/>
        </w:rPr>
      </w:pPr>
      <w:bookmarkStart w:id="3" w:name="_Toc496492894"/>
      <w:bookmarkStart w:id="4" w:name="_Toc443367938"/>
      <w:bookmarkStart w:id="5" w:name="_Ref36441880"/>
      <w:bookmarkStart w:id="6" w:name="_Ref98822086"/>
      <w:r>
        <w:rPr>
          <w:rFonts w:ascii="Times New Roman" w:hAnsi="Times New Roman"/>
          <w:bCs/>
          <w:iCs/>
          <w:sz w:val="24"/>
        </w:rPr>
        <w:t>Сторона, обязанная направить другой Стороне информацию о невозможности обмена документами в электронной форме, подписанными усиленной квалифицированной электронной подписью, и о возобновлении электронного документооборота направляет другой Стороне соответствующее уведомление с использованием средств оперативной связи.</w:t>
      </w:r>
      <w:bookmarkEnd w:id="3"/>
      <w:bookmarkEnd w:id="4"/>
      <w:bookmarkEnd w:id="5"/>
      <w:bookmarkEnd w:id="6"/>
    </w:p>
    <w:p>
      <w:pPr>
        <w:pStyle w:val="Normal"/>
        <w:widowControl w:val="false"/>
        <w:spacing w:lineRule="auto" w:line="264"/>
        <w:ind w:left="709" w:hanging="0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</w:r>
    </w:p>
    <w:p>
      <w:pPr>
        <w:pStyle w:val="ListParagraph"/>
        <w:widowControl w:val="false"/>
        <w:numPr>
          <w:ilvl w:val="0"/>
          <w:numId w:val="2"/>
        </w:numPr>
        <w:spacing w:lineRule="auto" w:line="264"/>
        <w:jc w:val="center"/>
        <w:rPr>
          <w:rFonts w:ascii="Times New Roman" w:hAnsi="Times New Roman"/>
          <w:bCs/>
          <w:iCs/>
          <w:color w:val="000000"/>
          <w:sz w:val="24"/>
        </w:rPr>
      </w:pPr>
      <w:r>
        <w:rPr>
          <w:rFonts w:ascii="Times New Roman" w:hAnsi="Times New Roman"/>
          <w:b/>
          <w:sz w:val="24"/>
        </w:rPr>
        <w:t>ПРИЛОЖЕНИЯ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709" w:leader="none"/>
        </w:tabs>
        <w:spacing w:lineRule="auto" w:line="264"/>
        <w:ind w:left="0" w:firstLine="709"/>
        <w:rPr>
          <w:rFonts w:ascii="Times New Roman" w:hAnsi="Times New Roman"/>
          <w:bCs/>
          <w:iCs/>
          <w:color w:val="000000"/>
          <w:sz w:val="24"/>
        </w:rPr>
      </w:pPr>
      <w:r>
        <w:rPr>
          <w:rFonts w:ascii="Times New Roman" w:hAnsi="Times New Roman"/>
          <w:bCs/>
          <w:iCs/>
          <w:color w:val="000000"/>
          <w:sz w:val="24"/>
        </w:rPr>
        <w:t>Приложение № 1. Перечень, форматы и сроки предоставления электронных документов.</w:t>
      </w:r>
    </w:p>
    <w:p>
      <w:pPr>
        <w:pStyle w:val="Normal"/>
        <w:widowControl w:val="false"/>
        <w:tabs>
          <w:tab w:val="clear" w:pos="708"/>
          <w:tab w:val="left" w:pos="1144" w:leader="none"/>
          <w:tab w:val="left" w:pos="1853" w:leader="none"/>
        </w:tabs>
        <w:spacing w:lineRule="auto" w:line="264"/>
        <w:ind w:left="1134" w:hanging="0"/>
        <w:rPr>
          <w:rFonts w:ascii="Times New Roman" w:hAnsi="Times New Roman"/>
          <w:bCs/>
          <w:iCs/>
          <w:color w:val="000000"/>
          <w:sz w:val="24"/>
        </w:rPr>
      </w:pPr>
      <w:r>
        <w:rPr>
          <w:rFonts w:ascii="Times New Roman" w:hAnsi="Times New Roman"/>
          <w:bCs/>
          <w:iCs/>
          <w:color w:val="000000"/>
          <w:sz w:val="24"/>
        </w:rPr>
      </w:r>
    </w:p>
    <w:p>
      <w:pPr>
        <w:pStyle w:val="Normal"/>
        <w:widowControl w:val="false"/>
        <w:spacing w:lineRule="auto" w:line="264"/>
        <w:ind w:left="437" w:hanging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tbl>
      <w:tblPr>
        <w:tblStyle w:val="1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785"/>
        <w:gridCol w:w="4785"/>
      </w:tblGrid>
      <w:tr>
        <w:trPr/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64" w:before="0" w:after="60"/>
              <w:ind w:left="0" w:hanging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Заказчик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64" w:before="0" w:after="60"/>
              <w:ind w:left="0" w:hanging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Исполнитель</w:t>
            </w:r>
          </w:p>
          <w:p>
            <w:pPr>
              <w:pStyle w:val="Normal"/>
              <w:widowControl w:val="false"/>
              <w:suppressAutoHyphens w:val="true"/>
              <w:spacing w:lineRule="auto" w:line="264" w:before="0" w:after="60"/>
              <w:ind w:left="0" w:hanging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64" w:before="0" w:after="6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64" w:before="0" w:after="6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64" w:before="0" w:after="60"/>
              <w:ind w:left="0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Приложение № 1 </w:t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Регламенту обмена документами в электронной</w:t>
      </w:r>
    </w:p>
    <w:p>
      <w:pPr>
        <w:pStyle w:val="Normal"/>
        <w:widowControl w:val="false"/>
        <w:spacing w:before="0" w:after="0"/>
        <w:ind w:left="0" w:hanging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форме через операторов электронного документооборота</w:t>
      </w:r>
    </w:p>
    <w:p>
      <w:pPr>
        <w:pStyle w:val="Normal"/>
        <w:spacing w:before="240" w:after="240"/>
        <w:ind w:left="0" w:hanging="0"/>
        <w:jc w:val="center"/>
        <w:rPr>
          <w:rFonts w:ascii="Times New Roman" w:hAnsi="Times New Roman" w:eastAsia="Arial Unicode MS"/>
          <w:b/>
          <w:bCs/>
          <w:color w:val="000000"/>
          <w:sz w:val="24"/>
        </w:rPr>
      </w:pPr>
      <w:r>
        <w:rPr>
          <w:rFonts w:ascii="Times New Roman" w:hAnsi="Times New Roman"/>
          <w:bCs/>
          <w:iCs/>
          <w:color w:val="000000"/>
          <w:sz w:val="24"/>
        </w:rPr>
        <w:t xml:space="preserve">Перечень, форматы и сроки предоставления электронных документов </w:t>
      </w:r>
    </w:p>
    <w:p>
      <w:pPr>
        <w:pStyle w:val="Normal"/>
        <w:spacing w:before="0" w:after="0"/>
        <w:ind w:left="0" w:hanging="0"/>
        <w:jc w:val="center"/>
        <w:rPr>
          <w:rFonts w:ascii="Times New Roman" w:hAnsi="Times New Roman" w:eastAsia="Arial Unicode MS"/>
          <w:b/>
          <w:bCs/>
          <w:color w:val="000000"/>
          <w:sz w:val="24"/>
        </w:rPr>
      </w:pPr>
      <w:r>
        <w:rPr>
          <w:rFonts w:eastAsia="Arial Unicode MS" w:ascii="Times New Roman" w:hAnsi="Times New Roman"/>
          <w:b/>
          <w:bCs/>
          <w:color w:val="000000"/>
          <w:sz w:val="24"/>
        </w:rPr>
      </w:r>
    </w:p>
    <w:tbl>
      <w:tblPr>
        <w:tblStyle w:val="2"/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02"/>
        <w:gridCol w:w="3515"/>
        <w:gridCol w:w="3266"/>
        <w:gridCol w:w="2122"/>
      </w:tblGrid>
      <w:tr>
        <w:trPr/>
        <w:tc>
          <w:tcPr>
            <w:tcW w:w="70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center"/>
              <w:rPr>
                <w:rFonts w:ascii="Times New Roman" w:hAnsi="Times New Roman" w:eastAsia="Arial Unicode MS"/>
                <w:b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b/>
                <w:color w:val="000000"/>
                <w:kern w:val="0"/>
                <w:sz w:val="24"/>
                <w:szCs w:val="24"/>
                <w:lang w:val="ru-RU" w:bidi="ar-SA"/>
              </w:rPr>
              <w:t xml:space="preserve">№ </w:t>
            </w:r>
            <w:r>
              <w:rPr>
                <w:rFonts w:eastAsia="Arial Unicode MS" w:ascii="Times New Roman" w:hAnsi="Times New Roman"/>
                <w:b/>
                <w:color w:val="000000"/>
                <w:kern w:val="0"/>
                <w:sz w:val="24"/>
                <w:szCs w:val="24"/>
                <w:lang w:val="ru-RU" w:bidi="ar-SA"/>
              </w:rPr>
              <w:t>п/п</w:t>
            </w:r>
          </w:p>
        </w:tc>
        <w:tc>
          <w:tcPr>
            <w:tcW w:w="351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center"/>
              <w:rPr>
                <w:rFonts w:ascii="Times New Roman" w:hAnsi="Times New Roman" w:eastAsia="Arial Unicode MS"/>
                <w:b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b/>
                <w:color w:val="000000"/>
                <w:kern w:val="0"/>
                <w:sz w:val="24"/>
                <w:szCs w:val="24"/>
                <w:lang w:val="ru-RU" w:bidi="ar-SA"/>
              </w:rPr>
              <w:t>Наименование электронного документа</w:t>
            </w:r>
          </w:p>
        </w:tc>
        <w:tc>
          <w:tcPr>
            <w:tcW w:w="326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center"/>
              <w:rPr>
                <w:rFonts w:ascii="Times New Roman" w:hAnsi="Times New Roman" w:eastAsia="Arial Unicode MS"/>
                <w:b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b/>
                <w:color w:val="000000"/>
                <w:kern w:val="0"/>
                <w:sz w:val="24"/>
                <w:szCs w:val="24"/>
                <w:lang w:val="ru-RU" w:bidi="ar-SA"/>
              </w:rPr>
              <w:t>Формат электронного документа</w:t>
            </w:r>
          </w:p>
        </w:tc>
        <w:tc>
          <w:tcPr>
            <w:tcW w:w="212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center"/>
              <w:rPr>
                <w:rFonts w:ascii="Times New Roman" w:hAnsi="Times New Roman" w:eastAsia="Arial Unicode MS"/>
                <w:b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b/>
                <w:color w:val="000000"/>
                <w:kern w:val="0"/>
                <w:sz w:val="24"/>
                <w:szCs w:val="24"/>
                <w:lang w:val="ru-RU" w:bidi="ar-SA"/>
              </w:rPr>
              <w:t>Срок предоставления электронного документа</w:t>
            </w:r>
          </w:p>
        </w:tc>
      </w:tr>
      <w:tr>
        <w:trPr/>
        <w:tc>
          <w:tcPr>
            <w:tcW w:w="70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center"/>
              <w:rPr>
                <w:rFonts w:ascii="Times New Roman" w:hAnsi="Times New Roman"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1.1.</w:t>
            </w:r>
          </w:p>
        </w:tc>
        <w:tc>
          <w:tcPr>
            <w:tcW w:w="3515" w:type="dxa"/>
            <w:tcBorders/>
            <w:vAlign w:val="center"/>
          </w:tcPr>
          <w:p>
            <w:pPr>
              <w:pStyle w:val="BodyText"/>
              <w:widowControl w:val="false"/>
              <w:suppressAutoHyphens w:val="true"/>
              <w:spacing w:lineRule="auto" w:line="276" w:before="0" w:after="0"/>
              <w:contextualSpacing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iCs/>
                <w:kern w:val="0"/>
                <w:sz w:val="24"/>
                <w:szCs w:val="24"/>
                <w:lang w:val="ru-RU" w:bidi="ar-SA"/>
              </w:rPr>
              <w:t>Акт об оказании услуг по передаче электрической энергии;</w:t>
            </w:r>
            <w:r>
              <w:rPr>
                <w:kern w:val="0"/>
                <w:sz w:val="24"/>
                <w:szCs w:val="24"/>
                <w:lang w:val="ru-RU" w:eastAsia="ar-SA" w:bidi="ar-SA"/>
              </w:rPr>
              <w:t xml:space="preserve"> корректировочный акт об оказании услуги по передаче электрической энергии, счет на оплату, акт сверки расчетов, дополнительные соглашения к договору и приложения к договору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266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В соответствии с формами, установленными договором, в форматах: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•</w:t>
            </w: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Microsoft Word 97-2010 (.doc);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•</w:t>
            </w: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Microsoft Excel 97-2010 (.xls);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•</w:t>
            </w: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Office Open XML (.docx,.xlsx);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•</w:t>
            </w: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Joint Photographic Experts Group (.jpeg,.jfif,.jpg);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•</w:t>
            </w: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Tagged Image File Format (.tiff);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•</w:t>
            </w: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Rich Text Format (.rtf);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•</w:t>
            </w: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Open Document Format (.odt);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•</w:t>
            </w: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Portable Document Format (.pdf);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•</w:t>
            </w: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Текстовый файл (.txt)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•</w:t>
            </w: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en-US" w:bidi="ar-SA"/>
              </w:rPr>
              <w:t>Произвольный XMLl)</w:t>
            </w:r>
          </w:p>
        </w:tc>
        <w:tc>
          <w:tcPr>
            <w:tcW w:w="212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40" w:beforeAutospacing="1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В соответствии со сроками, установленными договором</w:t>
            </w:r>
          </w:p>
        </w:tc>
      </w:tr>
      <w:tr>
        <w:trPr/>
        <w:tc>
          <w:tcPr>
            <w:tcW w:w="70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center"/>
              <w:rPr>
                <w:rFonts w:ascii="Times New Roman" w:hAnsi="Times New Roman"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1.2.</w:t>
            </w:r>
          </w:p>
        </w:tc>
        <w:tc>
          <w:tcPr>
            <w:tcW w:w="351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Счет-фактура</w:t>
            </w:r>
          </w:p>
        </w:tc>
        <w:tc>
          <w:tcPr>
            <w:tcW w:w="326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40" w:before="0" w:after="60"/>
              <w:ind w:left="33" w:hanging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В соответствии с Приказом ФНС России от 19.12 2023 г. N ЕД-7-26/970@</w:t>
            </w:r>
          </w:p>
        </w:tc>
        <w:tc>
          <w:tcPr>
            <w:tcW w:w="212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40" w:beforeAutospacing="1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В соответствии с действующим законодательством РФ</w:t>
            </w:r>
          </w:p>
        </w:tc>
      </w:tr>
      <w:tr>
        <w:trPr>
          <w:trHeight w:val="33" w:hRule="atLeast"/>
        </w:trPr>
        <w:tc>
          <w:tcPr>
            <w:tcW w:w="70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center"/>
              <w:rPr>
                <w:rFonts w:ascii="Times New Roman" w:hAnsi="Times New Roman"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2"/>
                <w:lang w:val="ru-RU" w:bidi="ar-SA"/>
              </w:rPr>
              <w:t>1.</w:t>
            </w: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2"/>
                <w:lang w:val="en-US" w:bidi="ar-SA"/>
              </w:rPr>
              <w:t>3</w:t>
            </w: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2"/>
                <w:lang w:val="ru-RU" w:bidi="ar-SA"/>
              </w:rPr>
              <w:t>.</w:t>
            </w:r>
          </w:p>
        </w:tc>
        <w:tc>
          <w:tcPr>
            <w:tcW w:w="351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Корректировочный Счет-фактура</w:t>
            </w:r>
          </w:p>
        </w:tc>
        <w:tc>
          <w:tcPr>
            <w:tcW w:w="326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40" w:before="0" w:after="60"/>
              <w:ind w:left="33" w:hanging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 xml:space="preserve">В соответствии с Приказом ФНС России от 12.10.2020г. </w:t>
            </w:r>
          </w:p>
          <w:p>
            <w:pPr>
              <w:pStyle w:val="Normal"/>
              <w:widowControl w:val="false"/>
              <w:suppressAutoHyphens w:val="true"/>
              <w:spacing w:lineRule="exact" w:line="240" w:before="0" w:after="60"/>
              <w:ind w:left="33" w:hanging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ru-RU" w:bidi="ar-SA"/>
              </w:rPr>
              <w:t xml:space="preserve">№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ru-RU" w:bidi="ar-SA"/>
              </w:rPr>
              <w:t>ЕД-7-26/736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2"/>
                <w:lang w:val="en-US" w:bidi="ar-SA"/>
              </w:rPr>
              <w:t>@</w:t>
            </w:r>
            <w:bookmarkStart w:id="7" w:name="_GoBack"/>
            <w:bookmarkEnd w:id="7"/>
          </w:p>
        </w:tc>
        <w:tc>
          <w:tcPr>
            <w:tcW w:w="212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40" w:beforeAutospacing="1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В соответствии с действующим законодательством РФ</w:t>
            </w:r>
          </w:p>
        </w:tc>
      </w:tr>
      <w:tr>
        <w:trPr>
          <w:trHeight w:val="30" w:hRule="atLeast"/>
        </w:trPr>
        <w:tc>
          <w:tcPr>
            <w:tcW w:w="70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center"/>
              <w:rPr>
                <w:rFonts w:ascii="Times New Roman" w:hAnsi="Times New Roman"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1.4.</w:t>
            </w:r>
          </w:p>
        </w:tc>
        <w:tc>
          <w:tcPr>
            <w:tcW w:w="351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Исправленный Счет-фактура</w:t>
            </w:r>
          </w:p>
        </w:tc>
        <w:tc>
          <w:tcPr>
            <w:tcW w:w="326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40" w:before="0" w:after="60"/>
              <w:ind w:left="33" w:hanging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В соответствии с Приказом ФНС России от 19.12.2023 г. N ЕД-7-26/970@</w:t>
            </w:r>
          </w:p>
        </w:tc>
        <w:tc>
          <w:tcPr>
            <w:tcW w:w="212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40" w:beforeAutospacing="1" w:after="0"/>
              <w:ind w:left="0" w:hanging="0"/>
              <w:jc w:val="left"/>
              <w:rPr>
                <w:rFonts w:ascii="Times New Roman" w:hAnsi="Times New Roman"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В соответствии с действующим законодательством РФ</w:t>
            </w:r>
          </w:p>
        </w:tc>
      </w:tr>
    </w:tbl>
    <w:p>
      <w:pPr>
        <w:pStyle w:val="Normal"/>
        <w:spacing w:lineRule="auto" w:line="276" w:before="0" w:after="200"/>
        <w:ind w:left="-426" w:firstLine="1135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tbl>
      <w:tblPr>
        <w:tblStyle w:val="a3"/>
        <w:tblW w:w="974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077"/>
        <w:gridCol w:w="1456"/>
        <w:gridCol w:w="4214"/>
      </w:tblGrid>
      <w:tr>
        <w:trPr/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60" w:after="200"/>
              <w:ind w:left="0" w:firstLine="2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Заказчик: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60" w:after="200"/>
              <w:ind w:left="0" w:firstLine="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60" w:after="200"/>
              <w:ind w:left="0" w:firstLine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2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60" w:after="200"/>
              <w:ind w:left="0" w:firstLine="2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Исполнитель: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60" w:after="200"/>
              <w:ind w:left="0" w:firstLine="2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76" w:before="60" w:after="200"/>
              <w:ind w:left="0" w:firstLine="2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ListParagraph"/>
        <w:widowControl w:val="false"/>
        <w:tabs>
          <w:tab w:val="clear" w:pos="708"/>
          <w:tab w:val="left" w:pos="6663" w:leader="none"/>
        </w:tabs>
        <w:spacing w:lineRule="auto" w:line="288" w:before="0" w:after="0"/>
        <w:ind w:left="435" w:hanging="0"/>
        <w:contextualSpacing/>
        <w:jc w:val="center"/>
        <w:rPr>
          <w:rFonts w:cs="Arial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276" w:right="850" w:gutter="0" w:header="708" w:top="851" w:footer="358" w:bottom="87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  <w:font w:name="Garamond">
    <w:charset w:val="01"/>
    <w:family w:val="roman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11</w:t>
    </w:r>
    <w:r>
      <w:rPr/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11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i w:val="false"/>
        <w:b/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03"/>
        </w:tabs>
        <w:ind w:left="1003" w:hanging="435"/>
      </w:pPr>
      <w:rPr>
        <w:sz w:val="22"/>
        <w:i w:val="false"/>
        <w:b w:val="false"/>
        <w:szCs w:val="22"/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i w:val="false"/>
        <w:rFonts w:ascii="Garamond" w:hAnsi="Garamond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i w:val="false"/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i w:val="false"/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i w:val="false"/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i w:val="false"/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i w:val="false"/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i w:val="false"/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i w:val="false"/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144"/>
        </w:tabs>
        <w:ind w:left="1144" w:hanging="435"/>
      </w:pPr>
      <w:rPr>
        <w:rFonts w:ascii="Symbol" w:hAnsi="Symbol" w:cs="Symbol" w:hint="default"/>
        <w:sz w:val="22"/>
        <w:i w:val="false"/>
        <w:b w:val="false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i w:val="false"/>
        <w:rFonts w:ascii="Garamond" w:hAnsi="Garamond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i w:val="false"/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i w:val="false"/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i w:val="false"/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i w:val="false"/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i w:val="false"/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i w:val="false"/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9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umentProtection w:edit="trackedChanges" w:cryptProviderType="rsaAES" w:cryptAlgorithmClass="hash" w:cryptAlgorithmType="typeAny" w:cryptAlgorithmSid="" w:cryptSpinCount="0" w:hash="" w:salt=""/>
  <w:themeFontLang w:val="ru-RU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7638c"/>
    <w:pPr>
      <w:widowControl/>
      <w:suppressAutoHyphens w:val="true"/>
      <w:bidi w:val="0"/>
      <w:spacing w:before="0" w:after="60"/>
      <w:ind w:left="720" w:hanging="0"/>
      <w:jc w:val="both"/>
    </w:pPr>
    <w:rPr>
      <w:rFonts w:ascii="Arial" w:hAnsi="Arial" w:eastAsia="Times New Roman" w:cs="Times New Roman"/>
      <w:color w:val="auto"/>
      <w:kern w:val="0"/>
      <w:sz w:val="20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qFormat/>
    <w:rsid w:val="0047638c"/>
    <w:rPr>
      <w:sz w:val="16"/>
      <w:szCs w:val="16"/>
    </w:rPr>
  </w:style>
  <w:style w:type="character" w:styleId="Style9" w:customStyle="1">
    <w:name w:val="Текст примечания Знак"/>
    <w:basedOn w:val="DefaultParagraphFont"/>
    <w:link w:val="Annotationtext"/>
    <w:qFormat/>
    <w:rsid w:val="0047638c"/>
    <w:rPr>
      <w:rFonts w:ascii="Arial" w:hAnsi="Arial" w:eastAsia="Times New Roman" w:cs="Times New Roman"/>
      <w:sz w:val="20"/>
      <w:szCs w:val="20"/>
      <w:lang w:val="x-none" w:eastAsia="x-none"/>
    </w:rPr>
  </w:style>
  <w:style w:type="character" w:styleId="Style10" w:customStyle="1">
    <w:name w:val="Текст выноски Знак"/>
    <w:basedOn w:val="DefaultParagraphFont"/>
    <w:link w:val="BalloonText"/>
    <w:uiPriority w:val="99"/>
    <w:semiHidden/>
    <w:qFormat/>
    <w:rsid w:val="0047638c"/>
    <w:rPr>
      <w:rFonts w:ascii="Times New Roman" w:hAnsi="Times New Roman" w:eastAsia="Times New Roman" w:cs="Times New Roman"/>
      <w:sz w:val="18"/>
      <w:szCs w:val="18"/>
      <w:lang w:eastAsia="ru-RU"/>
    </w:rPr>
  </w:style>
  <w:style w:type="character" w:styleId="Style11" w:customStyle="1">
    <w:name w:val="Тема примечания Знак"/>
    <w:basedOn w:val="Style9"/>
    <w:link w:val="Annotationsubject"/>
    <w:uiPriority w:val="99"/>
    <w:semiHidden/>
    <w:qFormat/>
    <w:rsid w:val="00fb2282"/>
    <w:rPr>
      <w:rFonts w:ascii="Arial" w:hAnsi="Arial" w:eastAsia="Times New Roman" w:cs="Times New Roman"/>
      <w:b/>
      <w:bCs/>
      <w:sz w:val="20"/>
      <w:szCs w:val="20"/>
      <w:lang w:val="x-none" w:eastAsia="ru-RU"/>
    </w:rPr>
  </w:style>
  <w:style w:type="character" w:styleId="Style12" w:customStyle="1">
    <w:name w:val="Верхний колонтитул Знак"/>
    <w:basedOn w:val="DefaultParagraphFont"/>
    <w:uiPriority w:val="99"/>
    <w:qFormat/>
    <w:rsid w:val="000c58c5"/>
    <w:rPr>
      <w:rFonts w:ascii="Arial" w:hAnsi="Arial" w:eastAsia="Times New Roman" w:cs="Times New Roman"/>
      <w:sz w:val="20"/>
      <w:lang w:eastAsia="ru-RU"/>
    </w:rPr>
  </w:style>
  <w:style w:type="character" w:styleId="Style13" w:customStyle="1">
    <w:name w:val="Нижний колонтитул Знак"/>
    <w:basedOn w:val="DefaultParagraphFont"/>
    <w:uiPriority w:val="99"/>
    <w:qFormat/>
    <w:rsid w:val="000c58c5"/>
    <w:rPr>
      <w:rFonts w:ascii="Arial" w:hAnsi="Arial" w:eastAsia="Times New Roman" w:cs="Times New Roman"/>
      <w:sz w:val="20"/>
      <w:lang w:eastAsia="ru-RU"/>
    </w:rPr>
  </w:style>
  <w:style w:type="character" w:styleId="Hyperlink">
    <w:name w:val="Hyperlink"/>
    <w:basedOn w:val="DefaultParagraphFont"/>
    <w:uiPriority w:val="99"/>
    <w:semiHidden/>
    <w:unhideWhenUsed/>
    <w:rsid w:val="004c7a56"/>
    <w:rPr>
      <w:color w:val="0000FF"/>
      <w:u w:val="single"/>
    </w:rPr>
  </w:style>
  <w:style w:type="character" w:styleId="Style14" w:customStyle="1">
    <w:name w:val="Основной текст Знак"/>
    <w:basedOn w:val="DefaultParagraphFont"/>
    <w:qFormat/>
    <w:rsid w:val="00831b22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PlaceholderText">
    <w:name w:val="Placeholder Text"/>
    <w:basedOn w:val="DefaultParagraphFont"/>
    <w:uiPriority w:val="99"/>
    <w:semiHidden/>
    <w:qFormat/>
    <w:rsid w:val="005c3861"/>
    <w:rPr>
      <w:color w:val="808080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BodyText">
    <w:name w:val="Body Text"/>
    <w:basedOn w:val="Normal"/>
    <w:link w:val="Style14"/>
    <w:rsid w:val="00831b22"/>
    <w:pPr>
      <w:spacing w:before="0" w:after="0"/>
      <w:ind w:left="0" w:hanging="0"/>
      <w:jc w:val="left"/>
    </w:pPr>
    <w:rPr>
      <w:rFonts w:ascii="Times New Roman" w:hAnsi="Times New Roman"/>
      <w:szCs w:val="20"/>
    </w:rPr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/>
  </w:style>
  <w:style w:type="paragraph" w:styleId="Annotationtext">
    <w:name w:val="annotation text"/>
    <w:basedOn w:val="Normal"/>
    <w:link w:val="Style9"/>
    <w:qFormat/>
    <w:rsid w:val="0047638c"/>
    <w:pPr/>
    <w:rPr>
      <w:szCs w:val="20"/>
      <w:lang w:val="x-none" w:eastAsia="x-none"/>
    </w:rPr>
  </w:style>
  <w:style w:type="paragraph" w:styleId="ListParagraph">
    <w:name w:val="List Paragraph"/>
    <w:basedOn w:val="Normal"/>
    <w:uiPriority w:val="34"/>
    <w:qFormat/>
    <w:rsid w:val="0047638c"/>
    <w:pPr>
      <w:spacing w:before="0" w:after="60"/>
      <w:contextualSpacing/>
    </w:pPr>
    <w:rPr/>
  </w:style>
  <w:style w:type="paragraph" w:styleId="BalloonText">
    <w:name w:val="Balloon Text"/>
    <w:basedOn w:val="Normal"/>
    <w:link w:val="Style10"/>
    <w:uiPriority w:val="99"/>
    <w:semiHidden/>
    <w:unhideWhenUsed/>
    <w:qFormat/>
    <w:rsid w:val="0047638c"/>
    <w:pPr>
      <w:spacing w:before="0" w:after="0"/>
    </w:pPr>
    <w:rPr>
      <w:rFonts w:ascii="Times New Roman" w:hAnsi="Times New Roman"/>
      <w:sz w:val="18"/>
      <w:szCs w:val="18"/>
    </w:rPr>
  </w:style>
  <w:style w:type="paragraph" w:styleId="Annotationsubject">
    <w:name w:val="annotation subject"/>
    <w:basedOn w:val="Annotationtext"/>
    <w:next w:val="Annotationtext"/>
    <w:link w:val="Style11"/>
    <w:uiPriority w:val="99"/>
    <w:semiHidden/>
    <w:unhideWhenUsed/>
    <w:qFormat/>
    <w:rsid w:val="00fb2282"/>
    <w:pPr/>
    <w:rPr>
      <w:b/>
      <w:bCs/>
      <w:lang w:val="ru-RU" w:eastAsia="ru-RU"/>
    </w:rPr>
  </w:style>
  <w:style w:type="paragraph" w:styleId="Revision">
    <w:name w:val="Revision"/>
    <w:uiPriority w:val="99"/>
    <w:semiHidden/>
    <w:qFormat/>
    <w:rsid w:val="00cd634e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0"/>
      <w:szCs w:val="24"/>
      <w:lang w:val="ru-RU" w:eastAsia="ru-RU" w:bidi="ar-SA"/>
    </w:rPr>
  </w:style>
  <w:style w:type="paragraph" w:styleId="Style17">
    <w:name w:val="Колонтитул"/>
    <w:basedOn w:val="Normal"/>
    <w:qFormat/>
    <w:pPr/>
    <w:rPr/>
  </w:style>
  <w:style w:type="paragraph" w:styleId="Header">
    <w:name w:val="Header"/>
    <w:basedOn w:val="Normal"/>
    <w:link w:val="Style12"/>
    <w:uiPriority w:val="99"/>
    <w:unhideWhenUsed/>
    <w:rsid w:val="000c58c5"/>
    <w:pPr>
      <w:tabs>
        <w:tab w:val="clear" w:pos="708"/>
        <w:tab w:val="center" w:pos="4677" w:leader="none"/>
        <w:tab w:val="right" w:pos="9355" w:leader="none"/>
      </w:tabs>
      <w:spacing w:before="0" w:after="0"/>
    </w:pPr>
    <w:rPr/>
  </w:style>
  <w:style w:type="paragraph" w:styleId="Footer">
    <w:name w:val="Footer"/>
    <w:basedOn w:val="Normal"/>
    <w:link w:val="Style13"/>
    <w:uiPriority w:val="99"/>
    <w:unhideWhenUsed/>
    <w:rsid w:val="000c58c5"/>
    <w:pPr>
      <w:tabs>
        <w:tab w:val="clear" w:pos="708"/>
        <w:tab w:val="center" w:pos="4677" w:leader="none"/>
        <w:tab w:val="right" w:pos="9355" w:leader="none"/>
      </w:tabs>
      <w:spacing w:before="0" w:after="0"/>
    </w:pPr>
    <w:rPr/>
  </w:style>
  <w:style w:type="paragraph" w:styleId="2" w:customStyle="1">
    <w:name w:val="2 Знак Знак Знак Знак Знак Знак Знак Знак Знак Знак Знак Знак Знак"/>
    <w:basedOn w:val="Normal"/>
    <w:qFormat/>
    <w:rsid w:val="00b11dc4"/>
    <w:pPr>
      <w:spacing w:lineRule="exact" w:line="240" w:before="0" w:after="160"/>
      <w:ind w:left="0" w:hanging="0"/>
      <w:jc w:val="left"/>
    </w:pPr>
    <w:rPr>
      <w:rFonts w:ascii="Verdana" w:hAnsi="Verdana" w:cs="Verdana"/>
      <w:szCs w:val="20"/>
      <w:lang w:val="en-US" w:eastAsia="en-US"/>
    </w:rPr>
  </w:style>
  <w:style w:type="paragraph" w:styleId="Style18">
    <w:name w:val="Содержимое таблицы"/>
    <w:basedOn w:val="Normal"/>
    <w:qFormat/>
    <w:pPr>
      <w:widowControl w:val="false"/>
      <w:suppressLineNumbers/>
    </w:pPr>
    <w:rPr/>
  </w:style>
  <w:style w:type="paragraph" w:styleId="Style19">
    <w:name w:val="Заголовок таблицы"/>
    <w:basedOn w:val="Style18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638c"/>
    <w:pPr>
      <w:spacing w:before="60" w:line="360" w:lineRule="auto"/>
      <w:jc w:val="both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">
    <w:name w:val="Сетка таблицы1"/>
    <w:basedOn w:val="a1"/>
    <w:uiPriority w:val="59"/>
    <w:rsid w:val="00544023"/>
    <w:rPr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">
    <w:name w:val="Сетка таблицы2"/>
    <w:basedOn w:val="a1"/>
    <w:uiPriority w:val="59"/>
    <w:rsid w:val="00544023"/>
    <w:rPr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B8E685F82D6497888271A0573434B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6421D6-A234-4F34-94F1-B83BAAF73CB2}"/>
      </w:docPartPr>
      <w:docPartBody>
        <w:p w:rsidR="00451BE0" w:rsidRDefault="00CC65FA" w:rsidP="00CC65FA">
          <w:pPr>
            <w:pStyle w:val="AB8E685F82D6497888271A0573434B39"/>
          </w:pPr>
          <w:r>
            <w:rPr>
              <w:rStyle w:val="a3"/>
            </w:rPr>
            <w:t>[Автор]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5FA"/>
    <w:rsid w:val="001F4F44"/>
    <w:rsid w:val="00451BE0"/>
    <w:rsid w:val="004C5140"/>
    <w:rsid w:val="005D6665"/>
    <w:rsid w:val="00903DC3"/>
    <w:rsid w:val="00947E02"/>
    <w:rsid w:val="00CC65FA"/>
    <w:rsid w:val="00E71ACB"/>
    <w:rsid w:val="00F76E74"/>
    <w:rsid w:val="00F9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C65FA"/>
    <w:rPr>
      <w:color w:val="808080"/>
    </w:rPr>
  </w:style>
  <w:style w:type="paragraph" w:customStyle="1" w:styleId="AB8E685F82D6497888271A0573434B39">
    <w:name w:val="AB8E685F82D6497888271A0573434B39"/>
    <w:rsid w:val="00CC65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AlterOffice/3.3.0.4$Linux_X86_64 LibreOffice_project/fa736b558560ebea8f92088bfd7720f4b3918f3f</Application>
  <AppVersion>15.0000</AppVersion>
  <Pages>11</Pages>
  <Words>3100</Words>
  <Characters>24538</Characters>
  <CharactersWithSpaces>27433</CharactersWithSpaces>
  <Paragraphs>152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2021-03-09T00:13:00Z</dcterms:created>
  <dc:creator>Регламент обмена документами в электронной форме через операторов электронного документооборота</dc:creator>
  <dc:description/>
  <dc:language>ru-RU</dc:language>
  <cp:lastModifiedBy>kolomina_ma</cp:lastModifiedBy>
  <cp:lastPrinted>2024-10-02T09:53:15Z</cp:lastPrinted>
  <dcterms:modified xsi:type="dcterms:W3CDTF">2024-10-02T09:53:20Z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