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114" w:rsidRPr="00E33F4A" w:rsidRDefault="00714114" w:rsidP="00E15C2F">
      <w:pPr>
        <w:keepNext/>
        <w:keepLines/>
        <w:widowControl w:val="0"/>
        <w:spacing w:after="0" w:line="240" w:lineRule="auto"/>
        <w:ind w:left="5670" w:right="-1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0547E">
        <w:rPr>
          <w:rFonts w:ascii="Times New Roman" w:hAnsi="Times New Roman" w:cs="Times New Roman"/>
          <w:bCs/>
          <w:sz w:val="24"/>
          <w:szCs w:val="24"/>
        </w:rPr>
        <w:t>УТВЕРЖДЕНО:</w:t>
      </w:r>
    </w:p>
    <w:p w:rsidR="004F513F" w:rsidRPr="00E33F4A" w:rsidRDefault="00714114" w:rsidP="00E15C2F">
      <w:pPr>
        <w:tabs>
          <w:tab w:val="left" w:pos="2552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F4A">
        <w:rPr>
          <w:rFonts w:ascii="Times New Roman" w:hAnsi="Times New Roman" w:cs="Times New Roman"/>
          <w:bCs/>
          <w:sz w:val="24"/>
          <w:szCs w:val="24"/>
        </w:rPr>
        <w:t>решением годового Общего собрания акционеров АО «</w:t>
      </w:r>
      <w:r w:rsidR="007B1CFA" w:rsidRPr="00E33F4A">
        <w:rPr>
          <w:rFonts w:ascii="Times New Roman" w:hAnsi="Times New Roman" w:cs="Times New Roman"/>
          <w:bCs/>
          <w:sz w:val="24"/>
          <w:szCs w:val="24"/>
        </w:rPr>
        <w:t>ДРСК»</w:t>
      </w:r>
    </w:p>
    <w:p w:rsidR="00714114" w:rsidRPr="00E33F4A" w:rsidRDefault="00714114" w:rsidP="00E15C2F">
      <w:pPr>
        <w:tabs>
          <w:tab w:val="left" w:pos="2552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F4A">
        <w:rPr>
          <w:rFonts w:ascii="Times New Roman" w:hAnsi="Times New Roman" w:cs="Times New Roman"/>
          <w:bCs/>
          <w:sz w:val="24"/>
          <w:szCs w:val="24"/>
        </w:rPr>
        <w:t>(протокол от</w:t>
      </w:r>
      <w:r w:rsidR="004F513F" w:rsidRPr="00E33F4A">
        <w:rPr>
          <w:rFonts w:ascii="Times New Roman" w:hAnsi="Times New Roman" w:cs="Times New Roman"/>
          <w:bCs/>
          <w:sz w:val="24"/>
          <w:szCs w:val="24"/>
        </w:rPr>
        <w:t xml:space="preserve"> _</w:t>
      </w:r>
      <w:proofErr w:type="gramStart"/>
      <w:r w:rsidR="004F513F" w:rsidRPr="00E33F4A">
        <w:rPr>
          <w:rFonts w:ascii="Times New Roman" w:hAnsi="Times New Roman" w:cs="Times New Roman"/>
          <w:bCs/>
          <w:sz w:val="24"/>
          <w:szCs w:val="24"/>
        </w:rPr>
        <w:t>_</w:t>
      </w:r>
      <w:r w:rsidRPr="00E33F4A">
        <w:rPr>
          <w:rFonts w:ascii="Times New Roman" w:hAnsi="Times New Roman" w:cs="Times New Roman"/>
          <w:bCs/>
          <w:sz w:val="24"/>
          <w:szCs w:val="24"/>
        </w:rPr>
        <w:t>.</w:t>
      </w:r>
      <w:r w:rsidR="004F513F" w:rsidRPr="00E33F4A">
        <w:rPr>
          <w:rFonts w:ascii="Times New Roman" w:hAnsi="Times New Roman" w:cs="Times New Roman"/>
          <w:bCs/>
          <w:sz w:val="24"/>
          <w:szCs w:val="24"/>
        </w:rPr>
        <w:t>_</w:t>
      </w:r>
      <w:proofErr w:type="gramEnd"/>
      <w:r w:rsidR="004F513F" w:rsidRPr="00E33F4A">
        <w:rPr>
          <w:rFonts w:ascii="Times New Roman" w:hAnsi="Times New Roman" w:cs="Times New Roman"/>
          <w:bCs/>
          <w:sz w:val="24"/>
          <w:szCs w:val="24"/>
        </w:rPr>
        <w:t>_</w:t>
      </w:r>
      <w:r w:rsidRPr="00E33F4A">
        <w:rPr>
          <w:rFonts w:ascii="Times New Roman" w:hAnsi="Times New Roman" w:cs="Times New Roman"/>
          <w:bCs/>
          <w:sz w:val="24"/>
          <w:szCs w:val="24"/>
        </w:rPr>
        <w:t>2022 №</w:t>
      </w:r>
      <w:r w:rsidR="004F513F" w:rsidRPr="00E33F4A">
        <w:rPr>
          <w:rFonts w:ascii="Times New Roman" w:hAnsi="Times New Roman" w:cs="Times New Roman"/>
          <w:bCs/>
          <w:sz w:val="24"/>
          <w:szCs w:val="24"/>
        </w:rPr>
        <w:t xml:space="preserve"> __</w:t>
      </w:r>
      <w:r w:rsidRPr="00E33F4A">
        <w:rPr>
          <w:rFonts w:ascii="Times New Roman" w:hAnsi="Times New Roman" w:cs="Times New Roman"/>
          <w:bCs/>
          <w:sz w:val="24"/>
          <w:szCs w:val="24"/>
        </w:rPr>
        <w:t>)</w:t>
      </w:r>
    </w:p>
    <w:p w:rsidR="000F25C1" w:rsidRPr="00E33F4A" w:rsidRDefault="000F25C1" w:rsidP="000F25C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0F25C1" w:rsidRPr="00E33F4A" w:rsidRDefault="000F25C1" w:rsidP="000F2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5C1" w:rsidRPr="00E33F4A" w:rsidRDefault="000F25C1" w:rsidP="000F25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F4A"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 </w:t>
      </w:r>
      <w:r w:rsidR="00C36541" w:rsidRPr="00E33F4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E33F4A">
        <w:rPr>
          <w:rFonts w:ascii="Times New Roman" w:hAnsi="Times New Roman" w:cs="Times New Roman"/>
          <w:b/>
          <w:bCs/>
          <w:sz w:val="28"/>
          <w:szCs w:val="28"/>
        </w:rPr>
        <w:t xml:space="preserve"> Устав</w:t>
      </w:r>
      <w:r w:rsidRPr="00E33F4A">
        <w:rPr>
          <w:rFonts w:ascii="Times New Roman" w:hAnsi="Times New Roman" w:cs="Times New Roman"/>
          <w:sz w:val="28"/>
          <w:szCs w:val="28"/>
        </w:rPr>
        <w:t xml:space="preserve"> </w:t>
      </w:r>
      <w:r w:rsidRPr="00E33F4A">
        <w:rPr>
          <w:rFonts w:ascii="Times New Roman" w:hAnsi="Times New Roman" w:cs="Times New Roman"/>
          <w:b/>
          <w:bCs/>
          <w:sz w:val="28"/>
          <w:szCs w:val="28"/>
        </w:rPr>
        <w:t xml:space="preserve">Акционерного общества </w:t>
      </w:r>
    </w:p>
    <w:p w:rsidR="000F25C1" w:rsidRPr="00E33F4A" w:rsidRDefault="000F25C1" w:rsidP="000F25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F4A">
        <w:rPr>
          <w:rFonts w:ascii="Times New Roman" w:hAnsi="Times New Roman" w:cs="Times New Roman"/>
          <w:b/>
          <w:bCs/>
          <w:sz w:val="28"/>
          <w:szCs w:val="28"/>
        </w:rPr>
        <w:t>«Дальневосточная распределительная сетевая компания»</w:t>
      </w:r>
    </w:p>
    <w:p w:rsidR="009A1A01" w:rsidRPr="00E33F4A" w:rsidRDefault="009A1A01" w:rsidP="000F25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4114" w:rsidRPr="00E15C2F" w:rsidRDefault="00714114" w:rsidP="00E15C2F">
      <w:pPr>
        <w:pStyle w:val="afb"/>
        <w:keepNext/>
        <w:keepLines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C2F">
        <w:rPr>
          <w:rFonts w:ascii="Times New Roman" w:hAnsi="Times New Roman" w:cs="Times New Roman"/>
          <w:sz w:val="24"/>
          <w:szCs w:val="24"/>
        </w:rPr>
        <w:t>Изложить подпункт 9.5.4 пункта 9.5 раздела 9 Устава А</w:t>
      </w:r>
      <w:r w:rsidR="00592199" w:rsidRPr="00A0547E">
        <w:rPr>
          <w:rFonts w:ascii="Times New Roman" w:hAnsi="Times New Roman" w:cs="Times New Roman"/>
          <w:sz w:val="24"/>
          <w:szCs w:val="24"/>
        </w:rPr>
        <w:t>кционерного общества</w:t>
      </w:r>
      <w:r w:rsidRPr="00E15C2F">
        <w:rPr>
          <w:rFonts w:ascii="Times New Roman" w:hAnsi="Times New Roman" w:cs="Times New Roman"/>
          <w:sz w:val="24"/>
          <w:szCs w:val="24"/>
        </w:rPr>
        <w:t xml:space="preserve"> «</w:t>
      </w:r>
      <w:r w:rsidR="00592199" w:rsidRPr="00A0547E">
        <w:rPr>
          <w:rFonts w:ascii="Times New Roman" w:hAnsi="Times New Roman" w:cs="Times New Roman"/>
          <w:sz w:val="24"/>
          <w:szCs w:val="24"/>
        </w:rPr>
        <w:t>Дальневосточная распределительная сетевая компания</w:t>
      </w:r>
      <w:r w:rsidRPr="00E15C2F">
        <w:rPr>
          <w:rFonts w:ascii="Times New Roman" w:hAnsi="Times New Roman" w:cs="Times New Roman"/>
          <w:sz w:val="24"/>
          <w:szCs w:val="24"/>
        </w:rPr>
        <w:t>»</w:t>
      </w:r>
      <w:r w:rsidR="00592199" w:rsidRPr="00A0547E">
        <w:rPr>
          <w:rFonts w:ascii="Times New Roman" w:hAnsi="Times New Roman" w:cs="Times New Roman"/>
          <w:sz w:val="24"/>
          <w:szCs w:val="24"/>
        </w:rPr>
        <w:t xml:space="preserve"> (далее –</w:t>
      </w:r>
      <w:r w:rsidR="00592199" w:rsidRPr="00E33F4A">
        <w:rPr>
          <w:rFonts w:ascii="Times New Roman" w:hAnsi="Times New Roman" w:cs="Times New Roman"/>
          <w:sz w:val="24"/>
          <w:szCs w:val="24"/>
        </w:rPr>
        <w:t xml:space="preserve"> Общество) </w:t>
      </w:r>
      <w:r w:rsidRPr="00E15C2F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714114" w:rsidRPr="00E33F4A" w:rsidRDefault="00714114" w:rsidP="00E15C2F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547E">
        <w:rPr>
          <w:rFonts w:ascii="Times New Roman" w:hAnsi="Times New Roman" w:cs="Times New Roman"/>
          <w:sz w:val="24"/>
          <w:szCs w:val="24"/>
        </w:rPr>
        <w:t xml:space="preserve">«9.5.4. Бюллетень для голосования направляется не позднее даты сообщения о проведении Общего собрания акционеров простым письмом по адресу, указанному в списке лиц, имеющих право на участие в Общем собрании </w:t>
      </w:r>
      <w:r w:rsidRPr="00E33F4A">
        <w:rPr>
          <w:rFonts w:ascii="Times New Roman" w:hAnsi="Times New Roman" w:cs="Times New Roman"/>
          <w:sz w:val="24"/>
          <w:szCs w:val="24"/>
        </w:rPr>
        <w:t>акционеров, или вручается под роспись каждому лицу, указанному в списке лиц, имеющих право на участие в Общем собрании акционеров.».</w:t>
      </w:r>
    </w:p>
    <w:p w:rsidR="00714114" w:rsidRPr="00E15C2F" w:rsidRDefault="00714114" w:rsidP="00E15C2F">
      <w:pPr>
        <w:pStyle w:val="afb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C2F">
        <w:rPr>
          <w:rFonts w:ascii="Times New Roman" w:hAnsi="Times New Roman" w:cs="Times New Roman"/>
          <w:sz w:val="24"/>
          <w:szCs w:val="24"/>
        </w:rPr>
        <w:t xml:space="preserve">Изложить подпункт 10.2.12 пункта 10.2 раздела 10 Устава </w:t>
      </w:r>
      <w:r w:rsidR="00592199" w:rsidRPr="00A0547E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66"/>
        <w:gridCol w:w="5083"/>
        <w:gridCol w:w="3685"/>
      </w:tblGrid>
      <w:tr w:rsidR="00714114" w:rsidRPr="00E33F4A" w:rsidTr="00E15C2F">
        <w:tc>
          <w:tcPr>
            <w:tcW w:w="866" w:type="dxa"/>
          </w:tcPr>
          <w:p w:rsidR="00714114" w:rsidRPr="00A0547E" w:rsidRDefault="00714114" w:rsidP="00A054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hanging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714114" w:rsidRPr="00E33F4A" w:rsidRDefault="007141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hanging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83" w:type="dxa"/>
          </w:tcPr>
          <w:p w:rsidR="00714114" w:rsidRPr="00E33F4A" w:rsidRDefault="007141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Вопросы, отнесенные к компетенции</w:t>
            </w:r>
          </w:p>
          <w:p w:rsidR="00714114" w:rsidRPr="00E33F4A" w:rsidRDefault="007141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714114" w:rsidRPr="00E33F4A" w:rsidRDefault="00714114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 принятия решения</w:t>
            </w:r>
          </w:p>
        </w:tc>
      </w:tr>
      <w:tr w:rsidR="00714114" w:rsidRPr="00E33F4A" w:rsidTr="00E15C2F">
        <w:tc>
          <w:tcPr>
            <w:tcW w:w="866" w:type="dxa"/>
          </w:tcPr>
          <w:p w:rsidR="00714114" w:rsidRPr="00E33F4A" w:rsidRDefault="00714114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.2.1</w:t>
            </w: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3" w:type="dxa"/>
          </w:tcPr>
          <w:p w:rsidR="00714114" w:rsidRPr="00E33F4A" w:rsidRDefault="00714114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firstLine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внутренних документов, определяющих кредитную политику Общества, финансовую политику Общества, организацию страховой защиты Общества, и принятие решений в соответствии с утвержденными внутренними документами</w:t>
            </w:r>
          </w:p>
        </w:tc>
        <w:tc>
          <w:tcPr>
            <w:tcW w:w="3685" w:type="dxa"/>
          </w:tcPr>
          <w:p w:rsidR="00714114" w:rsidRPr="00E33F4A" w:rsidRDefault="00714114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firstLine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Простое большинство голосов</w:t>
            </w:r>
          </w:p>
        </w:tc>
      </w:tr>
    </w:tbl>
    <w:p w:rsidR="00714114" w:rsidRPr="00E15C2F" w:rsidRDefault="00714114" w:rsidP="00E15C2F">
      <w:pPr>
        <w:pStyle w:val="afb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5C2F">
        <w:rPr>
          <w:rFonts w:ascii="Times New Roman" w:hAnsi="Times New Roman" w:cs="Times New Roman"/>
          <w:sz w:val="24"/>
          <w:szCs w:val="24"/>
          <w:lang w:eastAsia="ru-RU"/>
        </w:rPr>
        <w:t xml:space="preserve">Исключить подпункт 10.2.13 пункта 10.2 раздела 10 Устава </w:t>
      </w:r>
      <w:r w:rsidR="00356C5F" w:rsidRPr="00A0547E">
        <w:rPr>
          <w:rFonts w:ascii="Times New Roman" w:hAnsi="Times New Roman" w:cs="Times New Roman"/>
          <w:sz w:val="24"/>
          <w:szCs w:val="24"/>
          <w:lang w:eastAsia="ru-RU"/>
        </w:rPr>
        <w:t>Общества</w:t>
      </w:r>
      <w:r w:rsidRPr="00E15C2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56C5F" w:rsidRPr="00E15C2F" w:rsidRDefault="00714114" w:rsidP="00E15C2F">
      <w:pPr>
        <w:pStyle w:val="af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C2F">
        <w:rPr>
          <w:rFonts w:ascii="Times New Roman" w:hAnsi="Times New Roman" w:cs="Times New Roman"/>
          <w:sz w:val="24"/>
          <w:szCs w:val="24"/>
          <w:lang w:eastAsia="ru-RU"/>
        </w:rPr>
        <w:t xml:space="preserve">Считать </w:t>
      </w:r>
      <w:r w:rsidRPr="00E1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подпункты 10.2.14 – 10.2.27 пункта 10.2 раздела 10 Устава </w:t>
      </w:r>
      <w:r w:rsidR="00356C5F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Общества </w:t>
      </w:r>
      <w:r w:rsidRPr="00E15C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прежней редакции соответственно подпунктами 10.2.13</w:t>
      </w:r>
      <w:r w:rsidR="00356C5F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5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56C5F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10.2.26 пункта 10.2 раздела 10 Устава </w:t>
      </w:r>
      <w:r w:rsidR="00356C5F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</w:t>
      </w:r>
      <w:r w:rsidRPr="00E15C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4114" w:rsidRPr="00E15C2F" w:rsidRDefault="00714114" w:rsidP="00E15C2F">
      <w:pPr>
        <w:pStyle w:val="af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5C2F">
        <w:rPr>
          <w:rFonts w:ascii="Times New Roman" w:hAnsi="Times New Roman" w:cs="Times New Roman"/>
          <w:sz w:val="24"/>
          <w:szCs w:val="24"/>
          <w:lang w:eastAsia="ru-RU"/>
        </w:rPr>
        <w:t xml:space="preserve">Изложить подпункт 10.2.15 пункта 10.2 раздела 10 Устава </w:t>
      </w:r>
      <w:r w:rsidR="00356C5F" w:rsidRPr="00A0547E"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szCs w:val="24"/>
          <w:lang w:eastAsia="ru-RU"/>
        </w:rPr>
        <w:t>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60"/>
        <w:gridCol w:w="5089"/>
        <w:gridCol w:w="3685"/>
      </w:tblGrid>
      <w:tr w:rsidR="00714114" w:rsidRPr="00E33F4A" w:rsidTr="00E15C2F">
        <w:tc>
          <w:tcPr>
            <w:tcW w:w="860" w:type="dxa"/>
          </w:tcPr>
          <w:p w:rsidR="00714114" w:rsidRPr="00A0547E" w:rsidRDefault="00714114" w:rsidP="007141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5" w:hanging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714114" w:rsidRPr="00E33F4A" w:rsidRDefault="00714114" w:rsidP="007141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hanging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89" w:type="dxa"/>
          </w:tcPr>
          <w:p w:rsidR="00714114" w:rsidRPr="00E33F4A" w:rsidRDefault="00714114" w:rsidP="007141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ind w:firstLine="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Вопросы, отнесенные к компетенции </w:t>
            </w:r>
          </w:p>
          <w:p w:rsidR="00714114" w:rsidRPr="00E33F4A" w:rsidRDefault="00714114" w:rsidP="007141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ind w:firstLine="2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714114" w:rsidRPr="00E15C2F" w:rsidRDefault="00714114" w:rsidP="00E15C2F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 принятия решения</w:t>
            </w:r>
          </w:p>
        </w:tc>
      </w:tr>
      <w:tr w:rsidR="00714114" w:rsidRPr="00E33F4A" w:rsidTr="00E15C2F">
        <w:tc>
          <w:tcPr>
            <w:tcW w:w="860" w:type="dxa"/>
          </w:tcPr>
          <w:p w:rsidR="00714114" w:rsidRPr="00E33F4A" w:rsidRDefault="00714114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hanging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.2.15.</w:t>
            </w:r>
          </w:p>
        </w:tc>
        <w:tc>
          <w:tcPr>
            <w:tcW w:w="5089" w:type="dxa"/>
          </w:tcPr>
          <w:p w:rsidR="00714114" w:rsidRPr="00E33F4A" w:rsidRDefault="00714114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firstLine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Избрание Генерального директора, продление и прекращение его полномочий, в том числе принятие решения о заключении, продлении или досрочном прекращении трудового договора с ним, привлечение к дисциплинарной ответственности и поощрение в соответствии с трудовым законодательством РФ, выдвижение Генерального директора для представления к государственным наградам, определение условий участия Генерального директора в программе негосударственного пенсионного обеспечения, действующей в Обществе</w:t>
            </w:r>
          </w:p>
        </w:tc>
        <w:tc>
          <w:tcPr>
            <w:tcW w:w="3685" w:type="dxa"/>
          </w:tcPr>
          <w:p w:rsidR="00714114" w:rsidRPr="00E33F4A" w:rsidRDefault="00714114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firstLine="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Простое большинство голосов</w:t>
            </w:r>
          </w:p>
        </w:tc>
      </w:tr>
    </w:tbl>
    <w:p w:rsidR="009A1A01" w:rsidRPr="00E15C2F" w:rsidRDefault="009A1A01" w:rsidP="00E15C2F">
      <w:pPr>
        <w:pStyle w:val="af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E15C2F">
        <w:rPr>
          <w:rFonts w:ascii="Times New Roman" w:hAnsi="Times New Roman" w:cs="Times New Roman"/>
          <w:sz w:val="24"/>
          <w:lang w:eastAsia="ru-RU"/>
        </w:rPr>
        <w:t xml:space="preserve">Изложить подпункт 10.2.21 пункта 10.2 раздела 10 Устава </w:t>
      </w:r>
      <w:r w:rsidR="00356C5F" w:rsidRPr="00A0547E">
        <w:rPr>
          <w:rFonts w:ascii="Times New Roman" w:hAnsi="Times New Roman" w:cs="Times New Roman"/>
          <w:sz w:val="24"/>
          <w:lang w:eastAsia="ru-RU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lang w:eastAsia="ru-RU"/>
        </w:rPr>
        <w:t>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66"/>
        <w:gridCol w:w="5083"/>
        <w:gridCol w:w="3685"/>
      </w:tblGrid>
      <w:tr w:rsidR="009A1A01" w:rsidRPr="00E33F4A" w:rsidTr="00E15C2F">
        <w:tc>
          <w:tcPr>
            <w:tcW w:w="866" w:type="dxa"/>
          </w:tcPr>
          <w:p w:rsidR="009A1A01" w:rsidRPr="00A0547E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83" w:type="dxa"/>
          </w:tcPr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Вопросы, отнесенные к компетенции </w:t>
            </w:r>
          </w:p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 принятия решения</w:t>
            </w:r>
          </w:p>
        </w:tc>
      </w:tr>
      <w:tr w:rsidR="009A1A01" w:rsidRPr="00E33F4A" w:rsidTr="00E15C2F">
        <w:tc>
          <w:tcPr>
            <w:tcW w:w="866" w:type="dxa"/>
          </w:tcPr>
          <w:p w:rsidR="009A1A01" w:rsidRPr="00E33F4A" w:rsidRDefault="009A1A01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.2.2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3" w:type="dxa"/>
          </w:tcPr>
          <w:p w:rsidR="009A1A01" w:rsidRPr="00E33F4A" w:rsidRDefault="009A1A01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Согласие на совершение сделки (нескольких взаимосвязанных сделок) с конфликтом интересов, в случаях, предусмотренных Уставом, за исключением </w:t>
            </w: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случаев, определенных отдельными решениями Совета директоров</w:t>
            </w:r>
          </w:p>
        </w:tc>
        <w:tc>
          <w:tcPr>
            <w:tcW w:w="3685" w:type="dxa"/>
          </w:tcPr>
          <w:p w:rsidR="009A1A01" w:rsidRPr="00E33F4A" w:rsidRDefault="009A1A01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Большинство голосов членов Совета директоров, не заинтересованных в совершении сделки</w:t>
            </w:r>
          </w:p>
        </w:tc>
      </w:tr>
    </w:tbl>
    <w:p w:rsidR="009A1A01" w:rsidRPr="00E15C2F" w:rsidRDefault="009A1A01" w:rsidP="00E15C2F">
      <w:pPr>
        <w:pStyle w:val="afb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E15C2F">
        <w:rPr>
          <w:rFonts w:ascii="Times New Roman" w:hAnsi="Times New Roman" w:cs="Times New Roman"/>
          <w:sz w:val="24"/>
          <w:lang w:eastAsia="ru-RU"/>
        </w:rPr>
        <w:t xml:space="preserve">Изложить подпункт 10.2.23 пункта 10.2 раздела 10 Устава </w:t>
      </w:r>
      <w:r w:rsidR="00356C5F" w:rsidRPr="00A0547E">
        <w:rPr>
          <w:rFonts w:ascii="Times New Roman" w:hAnsi="Times New Roman" w:cs="Times New Roman"/>
          <w:sz w:val="24"/>
          <w:lang w:eastAsia="ru-RU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lang w:eastAsia="ru-RU"/>
        </w:rPr>
        <w:t>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75"/>
        <w:gridCol w:w="5074"/>
        <w:gridCol w:w="3685"/>
      </w:tblGrid>
      <w:tr w:rsidR="009A1A01" w:rsidRPr="00E33F4A" w:rsidTr="00E15C2F">
        <w:tc>
          <w:tcPr>
            <w:tcW w:w="875" w:type="dxa"/>
          </w:tcPr>
          <w:p w:rsidR="009A1A01" w:rsidRPr="00A0547E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74" w:type="dxa"/>
          </w:tcPr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Вопросы, отнесенные к компетенции </w:t>
            </w:r>
          </w:p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 принятия решения</w:t>
            </w:r>
          </w:p>
        </w:tc>
      </w:tr>
      <w:tr w:rsidR="009A1A01" w:rsidRPr="00E33F4A" w:rsidTr="00E15C2F">
        <w:tc>
          <w:tcPr>
            <w:tcW w:w="875" w:type="dxa"/>
          </w:tcPr>
          <w:p w:rsidR="009A1A01" w:rsidRPr="00A0547E" w:rsidRDefault="009A1A01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10.2.23</w:t>
            </w:r>
          </w:p>
        </w:tc>
        <w:tc>
          <w:tcPr>
            <w:tcW w:w="5074" w:type="dxa"/>
          </w:tcPr>
          <w:p w:rsidR="009A1A01" w:rsidRPr="00E33F4A" w:rsidRDefault="009A1A01" w:rsidP="00E15C2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3F4A">
              <w:rPr>
                <w:rFonts w:ascii="Times New Roman" w:hAnsi="Times New Roman" w:cs="Times New Roman"/>
                <w:sz w:val="20"/>
                <w:szCs w:val="20"/>
              </w:rPr>
              <w:t>Принятие решений о совершении Обществом:</w:t>
            </w:r>
          </w:p>
          <w:p w:rsidR="009A1A01" w:rsidRPr="00E33F4A" w:rsidRDefault="009A1A01" w:rsidP="00E15C2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3F4A">
              <w:rPr>
                <w:rFonts w:ascii="Times New Roman" w:hAnsi="Times New Roman" w:cs="Times New Roman"/>
                <w:b/>
                <w:sz w:val="20"/>
                <w:szCs w:val="20"/>
              </w:rPr>
              <w:t>а)</w:t>
            </w:r>
            <w:r w:rsidRPr="00E33F4A">
              <w:rPr>
                <w:rFonts w:ascii="Times New Roman" w:hAnsi="Times New Roman" w:cs="Times New Roman"/>
                <w:sz w:val="20"/>
                <w:szCs w:val="20"/>
              </w:rPr>
              <w:t xml:space="preserve"> сделок, цена которых превышает </w:t>
            </w:r>
            <w:r w:rsidR="00000A01" w:rsidRPr="00E33F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33F4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00A01" w:rsidRPr="00E33F4A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  <w:r w:rsidRPr="00E33F4A">
              <w:rPr>
                <w:rFonts w:ascii="Times New Roman" w:hAnsi="Times New Roman" w:cs="Times New Roman"/>
                <w:sz w:val="20"/>
                <w:szCs w:val="20"/>
              </w:rPr>
              <w:t>) процент балансовой стоимости активов Общества, за исключением случаев, определенных отдельными решениями Совета директоров. Отдельным решением Совета директоров также может быть предусмотрено изменение порогового значения для принятия решения о совершении сделок, предусмотренного настоящим подпунктом;</w:t>
            </w:r>
          </w:p>
          <w:p w:rsidR="009A1A01" w:rsidRPr="00E33F4A" w:rsidRDefault="009A1A01" w:rsidP="00E15C2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3F4A">
              <w:rPr>
                <w:rFonts w:ascii="Times New Roman" w:hAnsi="Times New Roman" w:cs="Times New Roman"/>
                <w:b/>
                <w:sz w:val="20"/>
                <w:szCs w:val="20"/>
              </w:rPr>
              <w:t>б)</w:t>
            </w:r>
            <w:r w:rsidRPr="00E33F4A">
              <w:rPr>
                <w:rFonts w:ascii="Times New Roman" w:hAnsi="Times New Roman" w:cs="Times New Roman"/>
                <w:sz w:val="20"/>
                <w:szCs w:val="20"/>
              </w:rPr>
              <w:t xml:space="preserve"> сделок, в соответствии с которыми третьи лица получают права владения, пользования и / или распоряжения недвижимым имуществом Общества (в том числе, отчуждение, аренда, залог) либо получают принадлежащие Обществу права требования передачи вновь создаваемого недвижимого имущества (из договоров подряда на создание объекта недвижимости, участия в долевом строительстве объекта недвижимости, о совместной деятельности в целях создания (реконструкции) объекта недвижимости и других), за исключением случаев, определенных отдельными решениями Совета директоров;</w:t>
            </w:r>
          </w:p>
          <w:p w:rsidR="009A1A01" w:rsidRPr="00E33F4A" w:rsidRDefault="009A1A01" w:rsidP="00E15C2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3F4A">
              <w:rPr>
                <w:rFonts w:ascii="Times New Roman" w:hAnsi="Times New Roman" w:cs="Times New Roman"/>
                <w:b/>
                <w:sz w:val="20"/>
                <w:szCs w:val="20"/>
              </w:rPr>
              <w:t>в)</w:t>
            </w:r>
            <w:r w:rsidRPr="00E33F4A">
              <w:rPr>
                <w:rFonts w:ascii="Times New Roman" w:hAnsi="Times New Roman" w:cs="Times New Roman"/>
                <w:sz w:val="20"/>
                <w:szCs w:val="20"/>
              </w:rPr>
              <w:t xml:space="preserve"> сделок, в соответствии с которыми Общество получает права владения, пользования и / или распоряжения недвижимым имуществом третьих лиц либо Общество получает права требования передачи вновь создаваемого недвижимого имущества (подряд на создание объекта недвижимости, участие в долевом строительстве объекта недвижимости, совместная деятельность в целях создания (реконструкции) объекта недвижимости и других), за исключением случаев, определенных отдельными решениями Совета директоров;</w:t>
            </w:r>
          </w:p>
          <w:p w:rsidR="009A1A01" w:rsidRPr="00E33F4A" w:rsidRDefault="009A1A01" w:rsidP="00E15C2F">
            <w:pPr>
              <w:tabs>
                <w:tab w:val="left" w:pos="22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3F4A">
              <w:rPr>
                <w:rFonts w:ascii="Times New Roman" w:hAnsi="Times New Roman" w:cs="Times New Roman"/>
                <w:b/>
                <w:sz w:val="20"/>
                <w:szCs w:val="20"/>
              </w:rPr>
              <w:t>г)</w:t>
            </w:r>
            <w:r w:rsidRPr="00E33F4A">
              <w:rPr>
                <w:rFonts w:ascii="Times New Roman" w:hAnsi="Times New Roman" w:cs="Times New Roman"/>
                <w:sz w:val="20"/>
                <w:szCs w:val="20"/>
              </w:rPr>
              <w:t xml:space="preserve"> сделок (включая несколько взаимосвязанных сделок), предметом которых является имущество, составляющее основные средства, нематериальные активы, объекты незавершенного строительства, целью использования которых является производство, передача и / или распределение электрической энергии и / или мощности, осуществление оперативно-технологического управления, а также производство и передача тепловой энергии, за исключением случаев, определенных отдельными решениями Совета директоров;</w:t>
            </w:r>
          </w:p>
          <w:p w:rsidR="009A1A01" w:rsidRPr="00E33F4A" w:rsidRDefault="009A1A01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hAnsi="Times New Roman" w:cs="Times New Roman"/>
                <w:b/>
                <w:sz w:val="20"/>
                <w:szCs w:val="20"/>
              </w:rPr>
              <w:t>д)</w:t>
            </w:r>
            <w:r w:rsidRPr="00E33F4A">
              <w:rPr>
                <w:rFonts w:ascii="Times New Roman" w:hAnsi="Times New Roman" w:cs="Times New Roman"/>
                <w:sz w:val="20"/>
                <w:szCs w:val="20"/>
              </w:rPr>
              <w:t xml:space="preserve"> сделок (включая несколько взаимосвязанных сделок), связанных с отчуждением или возможностью отчуждения имущества Общества, составляющего основные средства, нематериальные активы, объекты незавершенного строительства, целью использования которых не является производство, передача и / или распределение электрической энергии и / или мощности, осуществление оперативно-технологического управления, а также производство и передача тепловой энергии, за исключением случаев, определенных отдельными решениями Совета директоров, или если </w:t>
            </w:r>
            <w:r w:rsidRPr="00E33F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совершение указанных сделок предусмотрено реестром соответствующего имущества, утвержденного решением Совета директоров, и такие сделки совершаются в порядке, предусмотренном внутренним документом Общества, регламентирующим порядок распоряжения непрофильными активами Общества</w:t>
            </w:r>
          </w:p>
        </w:tc>
        <w:tc>
          <w:tcPr>
            <w:tcW w:w="3685" w:type="dxa"/>
          </w:tcPr>
          <w:p w:rsidR="009A1A01" w:rsidRPr="00E33F4A" w:rsidRDefault="009A1A01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Простое большинство голосов</w:t>
            </w:r>
          </w:p>
        </w:tc>
      </w:tr>
    </w:tbl>
    <w:p w:rsidR="009A1A01" w:rsidRPr="00E15C2F" w:rsidRDefault="009A1A01" w:rsidP="00E15C2F">
      <w:pPr>
        <w:pStyle w:val="afb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5C2F">
        <w:rPr>
          <w:rFonts w:ascii="Times New Roman" w:hAnsi="Times New Roman" w:cs="Times New Roman"/>
          <w:sz w:val="24"/>
          <w:szCs w:val="24"/>
          <w:lang w:eastAsia="ru-RU"/>
        </w:rPr>
        <w:t xml:space="preserve">Изложить подпункт 10.2.24 пункта 10.2 раздела 10 Устава </w:t>
      </w:r>
      <w:r w:rsidR="00E33F4A"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szCs w:val="24"/>
          <w:lang w:eastAsia="ru-RU"/>
        </w:rPr>
        <w:t>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60"/>
        <w:gridCol w:w="5103"/>
        <w:gridCol w:w="3671"/>
      </w:tblGrid>
      <w:tr w:rsidR="009A1A01" w:rsidRPr="00E33F4A" w:rsidTr="00E15C2F">
        <w:tc>
          <w:tcPr>
            <w:tcW w:w="860" w:type="dxa"/>
          </w:tcPr>
          <w:p w:rsidR="009A1A01" w:rsidRPr="00A0547E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5" w:hanging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hanging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ind w:hanging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Вопросы, отнесенные к компетенции </w:t>
            </w:r>
          </w:p>
          <w:p w:rsidR="009A1A01" w:rsidRPr="00E33F4A" w:rsidRDefault="009A1A01" w:rsidP="009A1A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791"/>
              </w:tabs>
              <w:snapToGrid w:val="0"/>
              <w:ind w:hanging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71" w:type="dxa"/>
          </w:tcPr>
          <w:p w:rsidR="009A1A01" w:rsidRPr="00E33F4A" w:rsidRDefault="009A1A01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hanging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 принятия решения</w:t>
            </w:r>
          </w:p>
        </w:tc>
      </w:tr>
      <w:tr w:rsidR="00EB44AF" w:rsidRPr="00E33F4A" w:rsidTr="00E15C2F">
        <w:tc>
          <w:tcPr>
            <w:tcW w:w="860" w:type="dxa"/>
          </w:tcPr>
          <w:p w:rsidR="00EB44AF" w:rsidRPr="00A0547E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hanging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.2.24.</w:t>
            </w:r>
          </w:p>
        </w:tc>
        <w:tc>
          <w:tcPr>
            <w:tcW w:w="5103" w:type="dxa"/>
          </w:tcPr>
          <w:p w:rsidR="00EB44AF" w:rsidRPr="00E33F4A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hanging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решений о совершении Обществом сделок, которые могут повлечь возникновение обязательств, выраженных в иностранной валюте (либо обязательств, величина которых привязывается к иностранной валюте), за исключением случаев, определенных отдельными решениями Совета директоров</w:t>
            </w:r>
          </w:p>
        </w:tc>
        <w:tc>
          <w:tcPr>
            <w:tcW w:w="3671" w:type="dxa"/>
          </w:tcPr>
          <w:p w:rsidR="00EB44AF" w:rsidRPr="00E33F4A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hanging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Простое большинство голосов</w:t>
            </w:r>
          </w:p>
        </w:tc>
      </w:tr>
    </w:tbl>
    <w:p w:rsidR="00EB44AF" w:rsidRPr="00E33F4A" w:rsidRDefault="00EB44AF" w:rsidP="00E15C2F">
      <w:pPr>
        <w:pStyle w:val="afb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подпункт 10.2.25 пункта 10.2 раздела 10 Устава </w:t>
      </w:r>
      <w:r w:rsidR="00E3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Общества </w:t>
      </w:r>
      <w:r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66"/>
        <w:gridCol w:w="5083"/>
        <w:gridCol w:w="3685"/>
      </w:tblGrid>
      <w:tr w:rsidR="00EB44AF" w:rsidRPr="00E33F4A" w:rsidTr="00E15C2F">
        <w:tc>
          <w:tcPr>
            <w:tcW w:w="866" w:type="dxa"/>
          </w:tcPr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83" w:type="dxa"/>
          </w:tcPr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Вопросы, отнесенные к компетенции</w:t>
            </w:r>
          </w:p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 принятия решения</w:t>
            </w:r>
          </w:p>
        </w:tc>
      </w:tr>
      <w:tr w:rsidR="00EB44AF" w:rsidRPr="00E33F4A" w:rsidTr="00E15C2F">
        <w:tc>
          <w:tcPr>
            <w:tcW w:w="866" w:type="dxa"/>
          </w:tcPr>
          <w:p w:rsidR="00EB44AF" w:rsidRPr="00A0547E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.2.25.</w:t>
            </w:r>
          </w:p>
        </w:tc>
        <w:tc>
          <w:tcPr>
            <w:tcW w:w="5083" w:type="dxa"/>
          </w:tcPr>
          <w:p w:rsidR="00EB44AF" w:rsidRPr="00E33F4A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решений о совершении Обществом сделок, связанных с безвозмездной передачей имущества Общества или имущественных прав (требований) к себе или к третьему лицу, сделок, связанных с безвозмездным освобождением от имущественной обязанности перед собой или перед третьим лицом, сделок, связанных с безвозмездным оказанием Обществом услуг (выполнением работ) третьим лицам, за исключением случаев, определенных отдельными решениями Совета директоров</w:t>
            </w:r>
          </w:p>
        </w:tc>
        <w:tc>
          <w:tcPr>
            <w:tcW w:w="3685" w:type="dxa"/>
          </w:tcPr>
          <w:p w:rsidR="00EB44AF" w:rsidRPr="00E33F4A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Простое большинство голосов</w:t>
            </w:r>
          </w:p>
        </w:tc>
      </w:tr>
    </w:tbl>
    <w:p w:rsidR="00EB44AF" w:rsidRPr="00E15C2F" w:rsidRDefault="00EB44AF" w:rsidP="00E15C2F">
      <w:pPr>
        <w:pStyle w:val="af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E15C2F">
        <w:rPr>
          <w:rFonts w:ascii="Times New Roman" w:hAnsi="Times New Roman" w:cs="Times New Roman"/>
          <w:sz w:val="24"/>
          <w:lang w:eastAsia="ru-RU"/>
        </w:rPr>
        <w:t>Изложить подпункт 10.2.26 пункта 10.2 раздела 10 Устава АО «ДРСК» 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66"/>
        <w:gridCol w:w="5083"/>
        <w:gridCol w:w="3685"/>
      </w:tblGrid>
      <w:tr w:rsidR="00CA5E18" w:rsidRPr="00E33F4A" w:rsidTr="00E15C2F">
        <w:tc>
          <w:tcPr>
            <w:tcW w:w="866" w:type="dxa"/>
          </w:tcPr>
          <w:p w:rsidR="00CA5E18" w:rsidRPr="00E33F4A" w:rsidRDefault="00CA5E18" w:rsidP="00CA5E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CA5E18" w:rsidRPr="00E33F4A" w:rsidRDefault="00CA5E18" w:rsidP="00CA5E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83" w:type="dxa"/>
          </w:tcPr>
          <w:p w:rsidR="00CA5E18" w:rsidRPr="00E33F4A" w:rsidRDefault="00CA5E18" w:rsidP="00CA5E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Вопросы, отнесенные к компетенции</w:t>
            </w:r>
          </w:p>
          <w:p w:rsidR="00CA5E18" w:rsidRPr="00E33F4A" w:rsidRDefault="00CA5E18" w:rsidP="00CA5E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CA5E18" w:rsidRPr="00E33F4A" w:rsidRDefault="00CA5E18" w:rsidP="00CA5E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 принятия решения</w:t>
            </w:r>
          </w:p>
        </w:tc>
      </w:tr>
      <w:tr w:rsidR="00CA5E18" w:rsidRPr="00E33F4A" w:rsidTr="00E15C2F">
        <w:tc>
          <w:tcPr>
            <w:tcW w:w="866" w:type="dxa"/>
          </w:tcPr>
          <w:p w:rsidR="00CA5E18" w:rsidRPr="00A0547E" w:rsidRDefault="00CA5E18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.2.26.</w:t>
            </w:r>
          </w:p>
        </w:tc>
        <w:tc>
          <w:tcPr>
            <w:tcW w:w="5083" w:type="dxa"/>
          </w:tcPr>
          <w:p w:rsidR="00CA5E18" w:rsidRPr="00E33F4A" w:rsidRDefault="00CA5E18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решений, за исключением случаев, определенных отдельными решениями Совета директоров:</w:t>
            </w:r>
          </w:p>
          <w:p w:rsidR="00CA5E18" w:rsidRPr="00E33F4A" w:rsidRDefault="00BB38F9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а)</w:t>
            </w: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="00CA5E18"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заключении Обществом концессионных соглашений;</w:t>
            </w:r>
          </w:p>
          <w:p w:rsidR="00CA5E18" w:rsidRPr="00E33F4A" w:rsidRDefault="00CA5E18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б)</w:t>
            </w: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заключении Обществом договоров о развитии застроенных территорий</w:t>
            </w:r>
          </w:p>
        </w:tc>
        <w:tc>
          <w:tcPr>
            <w:tcW w:w="3685" w:type="dxa"/>
          </w:tcPr>
          <w:p w:rsidR="00CA5E18" w:rsidRPr="00E33F4A" w:rsidRDefault="00CA5E18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Простое большинство голосов</w:t>
            </w:r>
          </w:p>
        </w:tc>
      </w:tr>
    </w:tbl>
    <w:p w:rsidR="00EB44AF" w:rsidRPr="00E15C2F" w:rsidRDefault="00EB44AF" w:rsidP="00E15C2F">
      <w:pPr>
        <w:pStyle w:val="af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E15C2F">
        <w:rPr>
          <w:rFonts w:ascii="Times New Roman" w:hAnsi="Times New Roman" w:cs="Times New Roman"/>
          <w:sz w:val="24"/>
          <w:lang w:eastAsia="ru-RU"/>
        </w:rPr>
        <w:t xml:space="preserve">Дополнить пункт 10.2 раздела 10 Устава </w:t>
      </w:r>
      <w:r w:rsidR="00E33F4A">
        <w:rPr>
          <w:rFonts w:ascii="Times New Roman" w:hAnsi="Times New Roman" w:cs="Times New Roman"/>
          <w:sz w:val="24"/>
          <w:lang w:eastAsia="ru-RU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lang w:eastAsia="ru-RU"/>
        </w:rPr>
        <w:t>новым подпунктом 10.2.27 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66"/>
        <w:gridCol w:w="5083"/>
        <w:gridCol w:w="3685"/>
      </w:tblGrid>
      <w:tr w:rsidR="00EB44AF" w:rsidRPr="00E33F4A" w:rsidTr="00E15C2F">
        <w:tc>
          <w:tcPr>
            <w:tcW w:w="866" w:type="dxa"/>
          </w:tcPr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83" w:type="dxa"/>
          </w:tcPr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Вопросы, отнесенные к компетенции</w:t>
            </w:r>
          </w:p>
          <w:p w:rsidR="00EB44AF" w:rsidRPr="00E33F4A" w:rsidRDefault="00EB44AF" w:rsidP="00EB44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EB44AF" w:rsidRPr="00E33F4A" w:rsidRDefault="00EB44AF" w:rsidP="00404E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</w:t>
            </w:r>
            <w:r w:rsidR="00404EE9"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принятия решения</w:t>
            </w:r>
          </w:p>
        </w:tc>
      </w:tr>
      <w:tr w:rsidR="00EB44AF" w:rsidRPr="00E33F4A" w:rsidTr="00E15C2F">
        <w:tc>
          <w:tcPr>
            <w:tcW w:w="866" w:type="dxa"/>
          </w:tcPr>
          <w:p w:rsidR="00EB44AF" w:rsidRPr="00A0547E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.2.27.</w:t>
            </w:r>
          </w:p>
        </w:tc>
        <w:tc>
          <w:tcPr>
            <w:tcW w:w="5083" w:type="dxa"/>
          </w:tcPr>
          <w:p w:rsidR="00EB44AF" w:rsidRPr="00E33F4A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Принятие решений о совершении Обществом сделок - договоров займа (за исключением договоров товарного займа), кредитных договоров, договоров лизинга, договоров о выдаче банковских гарантий, договоров поручительства, договоров залога, принятия обязательств по векселю (выдача векселя, акцепт переводного векселя (в том числе в порядке посредничества)), индоссамент векселя, аваль векселя в случаях, определенных внутренними документами, предусмотренными подпунктом 10.2.12 настоящего </w:t>
            </w: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Устава, либо если порядок принятия решений о совершении Обществом указанных сделок ими не определен, а также если указанные внутренние документы не утверждены в Обществе</w:t>
            </w:r>
          </w:p>
        </w:tc>
        <w:tc>
          <w:tcPr>
            <w:tcW w:w="3685" w:type="dxa"/>
          </w:tcPr>
          <w:p w:rsidR="00EB44AF" w:rsidRPr="00E33F4A" w:rsidRDefault="00EB44AF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Простое большинство голосов</w:t>
            </w:r>
          </w:p>
        </w:tc>
      </w:tr>
    </w:tbl>
    <w:p w:rsidR="00CA5E18" w:rsidRPr="00E15C2F" w:rsidRDefault="00CA5E18" w:rsidP="00E15C2F">
      <w:pPr>
        <w:pStyle w:val="af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E15C2F">
        <w:rPr>
          <w:rFonts w:ascii="Times New Roman" w:hAnsi="Times New Roman" w:cs="Times New Roman"/>
          <w:sz w:val="24"/>
          <w:lang w:eastAsia="ru-RU"/>
        </w:rPr>
        <w:t xml:space="preserve">Дополнить пункт 10.2 раздела 10 Устава </w:t>
      </w:r>
      <w:r w:rsidR="00E33F4A">
        <w:rPr>
          <w:rFonts w:ascii="Times New Roman" w:hAnsi="Times New Roman" w:cs="Times New Roman"/>
          <w:sz w:val="24"/>
          <w:lang w:eastAsia="ru-RU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lang w:eastAsia="ru-RU"/>
        </w:rPr>
        <w:t>новым подпунктом 10.2.28 в следующей редакции:</w:t>
      </w:r>
    </w:p>
    <w:tbl>
      <w:tblPr>
        <w:tblStyle w:val="53"/>
        <w:tblW w:w="9634" w:type="dxa"/>
        <w:tblLook w:val="04A0" w:firstRow="1" w:lastRow="0" w:firstColumn="1" w:lastColumn="0" w:noHBand="0" w:noVBand="1"/>
      </w:tblPr>
      <w:tblGrid>
        <w:gridCol w:w="846"/>
        <w:gridCol w:w="5103"/>
        <w:gridCol w:w="3685"/>
      </w:tblGrid>
      <w:tr w:rsidR="00CA5E18" w:rsidRPr="00E33F4A" w:rsidTr="00E15C2F">
        <w:tc>
          <w:tcPr>
            <w:tcW w:w="846" w:type="dxa"/>
          </w:tcPr>
          <w:p w:rsidR="00CA5E18" w:rsidRPr="00E33F4A" w:rsidRDefault="00CA5E18" w:rsidP="00DE6E4B">
            <w:pPr>
              <w:ind w:left="35" w:hanging="35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CA5E18" w:rsidRPr="00E33F4A" w:rsidRDefault="00CA5E18" w:rsidP="00DE6E4B">
            <w:pPr>
              <w:ind w:hanging="35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E33F4A">
              <w:rPr>
                <w:rFonts w:eastAsia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CA5E18" w:rsidRPr="00E33F4A" w:rsidRDefault="00CA5E18" w:rsidP="00DE6E4B">
            <w:pPr>
              <w:tabs>
                <w:tab w:val="left" w:pos="1791"/>
              </w:tabs>
              <w:snapToGrid w:val="0"/>
              <w:ind w:hanging="35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Вопросы, отнесенные к компетенции </w:t>
            </w:r>
          </w:p>
          <w:p w:rsidR="00CA5E18" w:rsidRPr="00E33F4A" w:rsidRDefault="00CA5E18" w:rsidP="00DE6E4B">
            <w:pPr>
              <w:tabs>
                <w:tab w:val="left" w:pos="1791"/>
              </w:tabs>
              <w:snapToGrid w:val="0"/>
              <w:ind w:hanging="35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eastAsia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CA5E18" w:rsidRPr="00E33F4A" w:rsidRDefault="00CA5E18" w:rsidP="00404EE9">
            <w:pPr>
              <w:ind w:hanging="114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3F4A">
              <w:rPr>
                <w:rFonts w:eastAsia="Times New Roman"/>
                <w:b/>
                <w:sz w:val="20"/>
                <w:szCs w:val="20"/>
                <w:lang w:eastAsia="ru-RU"/>
              </w:rPr>
              <w:t>Количество голосов, необходимое для принятия решения</w:t>
            </w:r>
          </w:p>
        </w:tc>
      </w:tr>
      <w:tr w:rsidR="00CA5E18" w:rsidRPr="00E33F4A" w:rsidTr="00E15C2F">
        <w:tc>
          <w:tcPr>
            <w:tcW w:w="846" w:type="dxa"/>
          </w:tcPr>
          <w:p w:rsidR="00CA5E18" w:rsidRPr="00A0547E" w:rsidRDefault="00CA5E18" w:rsidP="00E15C2F">
            <w:pPr>
              <w:spacing w:before="120" w:after="120"/>
              <w:ind w:hanging="3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0547E">
              <w:rPr>
                <w:rFonts w:eastAsia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eastAsia="Times New Roman"/>
                <w:sz w:val="20"/>
                <w:szCs w:val="20"/>
                <w:lang w:eastAsia="ru-RU"/>
              </w:rPr>
              <w:t>.2.28.</w:t>
            </w:r>
          </w:p>
        </w:tc>
        <w:tc>
          <w:tcPr>
            <w:tcW w:w="5103" w:type="dxa"/>
          </w:tcPr>
          <w:p w:rsidR="00CA5E18" w:rsidRPr="00E33F4A" w:rsidRDefault="00CA5E18" w:rsidP="00E15C2F">
            <w:pPr>
              <w:spacing w:before="120" w:after="120"/>
              <w:ind w:hanging="35"/>
              <w:rPr>
                <w:rFonts w:eastAsia="Times New Roman"/>
                <w:sz w:val="20"/>
                <w:szCs w:val="20"/>
                <w:lang w:eastAsia="ru-RU"/>
              </w:rPr>
            </w:pPr>
            <w:r w:rsidRPr="00E33F4A">
              <w:rPr>
                <w:rFonts w:eastAsia="Times New Roman"/>
                <w:sz w:val="20"/>
                <w:szCs w:val="20"/>
                <w:lang w:eastAsia="ru-RU"/>
              </w:rPr>
              <w:t>Принятие решений об открытии Обществом счетов, покрытых (депонированных) аккредитивов в кредитных организациях, о совершении Обществом сделок - договоров банковского счета, договоров банковского вклада (депозита) с кредитными организациями, о приобретении Обществом ценных бумаг кредитных организаций в рублях и иностранной валюте в случаях, определенных внутренними документами, предусмотренными подпунктом 10.2.12 настоящего Устава, либо если порядок принятия решений о совершении Обществом указанных сделок ими не определен, а также если указанные внутренние документы не утверждены в Обществе</w:t>
            </w:r>
          </w:p>
        </w:tc>
        <w:tc>
          <w:tcPr>
            <w:tcW w:w="3685" w:type="dxa"/>
          </w:tcPr>
          <w:p w:rsidR="00CA5E18" w:rsidRPr="00E33F4A" w:rsidRDefault="00CA5E18" w:rsidP="00E15C2F">
            <w:pPr>
              <w:spacing w:before="120" w:after="120"/>
              <w:ind w:firstLine="29"/>
              <w:rPr>
                <w:rFonts w:eastAsia="Times New Roman"/>
                <w:sz w:val="20"/>
                <w:szCs w:val="20"/>
                <w:lang w:eastAsia="ru-RU"/>
              </w:rPr>
            </w:pPr>
            <w:r w:rsidRPr="00E33F4A">
              <w:rPr>
                <w:rFonts w:eastAsia="Times New Roman"/>
                <w:sz w:val="20"/>
                <w:szCs w:val="20"/>
                <w:lang w:eastAsia="ru-RU"/>
              </w:rPr>
              <w:t>Простое большинство голосов</w:t>
            </w:r>
          </w:p>
        </w:tc>
      </w:tr>
    </w:tbl>
    <w:p w:rsidR="00CC2DD9" w:rsidRPr="00E15C2F" w:rsidRDefault="00566947" w:rsidP="00E15C2F">
      <w:pPr>
        <w:pStyle w:val="afb"/>
        <w:numPr>
          <w:ilvl w:val="0"/>
          <w:numId w:val="4"/>
        </w:numPr>
        <w:spacing w:after="0" w:line="240" w:lineRule="auto"/>
        <w:ind w:left="1066" w:hanging="357"/>
        <w:rPr>
          <w:rFonts w:ascii="Times New Roman" w:hAnsi="Times New Roman" w:cs="Times New Roman"/>
          <w:sz w:val="24"/>
          <w:lang w:eastAsia="ru-RU"/>
        </w:rPr>
      </w:pPr>
      <w:r w:rsidRPr="00E15C2F">
        <w:rPr>
          <w:rFonts w:ascii="Times New Roman" w:hAnsi="Times New Roman" w:cs="Times New Roman"/>
          <w:sz w:val="24"/>
          <w:lang w:eastAsia="ru-RU"/>
        </w:rPr>
        <w:t>Исключить подпункт 10.2.4</w:t>
      </w:r>
      <w:r w:rsidR="00CC2DD9">
        <w:rPr>
          <w:rFonts w:ascii="Times New Roman" w:hAnsi="Times New Roman" w:cs="Times New Roman"/>
          <w:sz w:val="24"/>
          <w:lang w:eastAsia="ru-RU"/>
        </w:rPr>
        <w:t>6</w:t>
      </w:r>
      <w:r w:rsidRPr="00E15C2F">
        <w:rPr>
          <w:rFonts w:ascii="Times New Roman" w:hAnsi="Times New Roman" w:cs="Times New Roman"/>
          <w:sz w:val="24"/>
          <w:lang w:eastAsia="ru-RU"/>
        </w:rPr>
        <w:t xml:space="preserve"> пункта 10.2 раздела 10 Устава </w:t>
      </w:r>
      <w:r w:rsidR="0073399C" w:rsidRPr="00E15C2F">
        <w:rPr>
          <w:rFonts w:ascii="Times New Roman" w:hAnsi="Times New Roman" w:cs="Times New Roman"/>
          <w:sz w:val="24"/>
          <w:lang w:eastAsia="ru-RU"/>
        </w:rPr>
        <w:t>Общества</w:t>
      </w:r>
      <w:r w:rsidRPr="00E15C2F">
        <w:rPr>
          <w:rFonts w:ascii="Times New Roman" w:hAnsi="Times New Roman" w:cs="Times New Roman"/>
          <w:sz w:val="24"/>
          <w:lang w:eastAsia="ru-RU"/>
        </w:rPr>
        <w:t>.</w:t>
      </w:r>
    </w:p>
    <w:p w:rsidR="00566947" w:rsidRPr="00E15C2F" w:rsidRDefault="00566947" w:rsidP="00E15C2F">
      <w:pPr>
        <w:pStyle w:val="af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E15C2F">
        <w:rPr>
          <w:rFonts w:ascii="Times New Roman" w:hAnsi="Times New Roman" w:cs="Times New Roman"/>
          <w:sz w:val="24"/>
          <w:lang w:eastAsia="ru-RU"/>
        </w:rPr>
        <w:t>Считать подпункты 10.2.28 – 10.2.4</w:t>
      </w:r>
      <w:r w:rsidR="00CC2DD9">
        <w:rPr>
          <w:rFonts w:ascii="Times New Roman" w:hAnsi="Times New Roman" w:cs="Times New Roman"/>
          <w:sz w:val="24"/>
          <w:lang w:eastAsia="ru-RU"/>
        </w:rPr>
        <w:t>9</w:t>
      </w:r>
      <w:r w:rsidRPr="00E15C2F">
        <w:rPr>
          <w:rFonts w:ascii="Times New Roman" w:hAnsi="Times New Roman" w:cs="Times New Roman"/>
          <w:sz w:val="24"/>
          <w:lang w:eastAsia="ru-RU"/>
        </w:rPr>
        <w:t xml:space="preserve"> пункта 10.2 раздела 10 Устава </w:t>
      </w:r>
      <w:r w:rsidR="00CC2DD9">
        <w:rPr>
          <w:rFonts w:ascii="Times New Roman" w:hAnsi="Times New Roman" w:cs="Times New Roman"/>
          <w:sz w:val="24"/>
          <w:lang w:eastAsia="ru-RU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lang w:eastAsia="ru-RU"/>
        </w:rPr>
        <w:t>в прежней редакции соответственно подпунктами 10.2.29</w:t>
      </w:r>
      <w:r w:rsidR="00CC2DD9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E15C2F">
        <w:rPr>
          <w:rFonts w:ascii="Times New Roman" w:hAnsi="Times New Roman" w:cs="Times New Roman"/>
          <w:sz w:val="24"/>
          <w:lang w:eastAsia="ru-RU"/>
        </w:rPr>
        <w:t>-</w:t>
      </w:r>
      <w:r w:rsidR="00CC2DD9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E15C2F">
        <w:rPr>
          <w:rFonts w:ascii="Times New Roman" w:hAnsi="Times New Roman" w:cs="Times New Roman"/>
          <w:sz w:val="24"/>
          <w:lang w:eastAsia="ru-RU"/>
        </w:rPr>
        <w:t>10.2.4</w:t>
      </w:r>
      <w:r w:rsidR="00CC2DD9">
        <w:rPr>
          <w:rFonts w:ascii="Times New Roman" w:hAnsi="Times New Roman" w:cs="Times New Roman"/>
          <w:sz w:val="24"/>
          <w:lang w:eastAsia="ru-RU"/>
        </w:rPr>
        <w:t>9</w:t>
      </w:r>
      <w:r w:rsidRPr="00E15C2F">
        <w:rPr>
          <w:rFonts w:ascii="Times New Roman" w:hAnsi="Times New Roman" w:cs="Times New Roman"/>
          <w:sz w:val="24"/>
          <w:lang w:eastAsia="ru-RU"/>
        </w:rPr>
        <w:t xml:space="preserve"> пункта 10.2 раздела 10 Устава Общества.</w:t>
      </w:r>
    </w:p>
    <w:p w:rsidR="00566947" w:rsidRPr="00E15C2F" w:rsidRDefault="00566947" w:rsidP="00E15C2F">
      <w:pPr>
        <w:pStyle w:val="af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5C2F">
        <w:rPr>
          <w:rFonts w:ascii="Times New Roman" w:hAnsi="Times New Roman" w:cs="Times New Roman"/>
          <w:sz w:val="24"/>
          <w:szCs w:val="24"/>
          <w:lang w:eastAsia="ru-RU"/>
        </w:rPr>
        <w:t xml:space="preserve">Изложить подпункт 10.2.38 пункта 10.2 раздела 10 Устава </w:t>
      </w:r>
      <w:r w:rsidR="00A01D5B"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Общества </w:t>
      </w:r>
      <w:r w:rsidRPr="00E15C2F">
        <w:rPr>
          <w:rFonts w:ascii="Times New Roman" w:hAnsi="Times New Roman" w:cs="Times New Roman"/>
          <w:sz w:val="24"/>
          <w:szCs w:val="24"/>
          <w:lang w:eastAsia="ru-RU"/>
        </w:rPr>
        <w:t>в следующей редакции: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895"/>
        <w:gridCol w:w="5054"/>
        <w:gridCol w:w="3685"/>
      </w:tblGrid>
      <w:tr w:rsidR="00566947" w:rsidRPr="00E33F4A" w:rsidTr="00E15C2F">
        <w:trPr>
          <w:trHeight w:val="372"/>
        </w:trPr>
        <w:tc>
          <w:tcPr>
            <w:tcW w:w="895" w:type="dxa"/>
          </w:tcPr>
          <w:p w:rsidR="00566947" w:rsidRPr="00E33F4A" w:rsidRDefault="00566947" w:rsidP="005669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566947" w:rsidRPr="00E33F4A" w:rsidRDefault="00566947" w:rsidP="005669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54" w:type="dxa"/>
          </w:tcPr>
          <w:p w:rsidR="00566947" w:rsidRPr="00E33F4A" w:rsidRDefault="00566947" w:rsidP="005669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Вопросы, отнесенные к компетенции</w:t>
            </w:r>
          </w:p>
          <w:p w:rsidR="00566947" w:rsidRPr="00E33F4A" w:rsidRDefault="00566947" w:rsidP="0056694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директоров</w:t>
            </w:r>
          </w:p>
        </w:tc>
        <w:tc>
          <w:tcPr>
            <w:tcW w:w="3685" w:type="dxa"/>
          </w:tcPr>
          <w:p w:rsidR="00566947" w:rsidRPr="00E33F4A" w:rsidRDefault="00566947" w:rsidP="00404E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голосов, необходимое для</w:t>
            </w:r>
            <w:r w:rsidR="00404EE9"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33F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принятия решения</w:t>
            </w:r>
          </w:p>
        </w:tc>
      </w:tr>
      <w:tr w:rsidR="00566947" w:rsidRPr="00E33F4A" w:rsidTr="00E15C2F">
        <w:tc>
          <w:tcPr>
            <w:tcW w:w="895" w:type="dxa"/>
          </w:tcPr>
          <w:p w:rsidR="00566947" w:rsidRPr="00A0547E" w:rsidRDefault="00566947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firstLine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.2.38.</w:t>
            </w:r>
          </w:p>
        </w:tc>
        <w:tc>
          <w:tcPr>
            <w:tcW w:w="5054" w:type="dxa"/>
          </w:tcPr>
          <w:p w:rsidR="00566947" w:rsidRPr="00E33F4A" w:rsidRDefault="00566947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firstLine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внутреннего документа, определяющего политику Общества по вознаграждениям и компенсациям отдельных категорий руководящих работников Общества и принятие решений в рамках утвержденного внутреннего документа; утверждение перечня должностей отдельных категорий руководящих работников Общества, одобрение назначения на должности, входящие в перечень отдельных категорий руководящих работников Общества</w:t>
            </w:r>
          </w:p>
        </w:tc>
        <w:tc>
          <w:tcPr>
            <w:tcW w:w="3685" w:type="dxa"/>
          </w:tcPr>
          <w:p w:rsidR="00566947" w:rsidRPr="00E33F4A" w:rsidRDefault="00566947" w:rsidP="00E15C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firstLine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Простое большинство голосов</w:t>
            </w:r>
          </w:p>
        </w:tc>
      </w:tr>
    </w:tbl>
    <w:p w:rsidR="00566947" w:rsidRPr="00A01D5B" w:rsidRDefault="00566947" w:rsidP="00E15C2F">
      <w:pPr>
        <w:pStyle w:val="afb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пункт 10.3 раздела 10 Устава </w:t>
      </w:r>
      <w:r w:rsidR="00A0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Общества </w:t>
      </w:r>
      <w:r w:rsidRPr="00A01D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следующей редакции:</w:t>
      </w:r>
    </w:p>
    <w:p w:rsidR="00566947" w:rsidRPr="00E33F4A" w:rsidRDefault="00566947" w:rsidP="00A01D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F4A">
        <w:rPr>
          <w:rFonts w:ascii="Times New Roman" w:eastAsia="Times New Roman" w:hAnsi="Times New Roman" w:cs="Times New Roman"/>
          <w:sz w:val="24"/>
          <w:szCs w:val="24"/>
          <w:lang w:eastAsia="ru-RU"/>
        </w:rPr>
        <w:t>«10.3. В целях применения пункта 10.2 настоящего Устава:</w:t>
      </w:r>
    </w:p>
    <w:p w:rsidR="00566947" w:rsidRPr="00E33F4A" w:rsidRDefault="00A01D5B" w:rsidP="00A01D5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947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требуется получение согласия на совершение сделки в соответствии с настоящим Уставом, а также в соответствии с законодательством РФ, согласие на совершение сделки, предусмотренной Уставом, не требуется, если на совершение такой сделки получено согласие органа управления Общества в соответствии с законодательством РФ;</w:t>
      </w:r>
    </w:p>
    <w:p w:rsidR="00566947" w:rsidRPr="00E33F4A" w:rsidRDefault="00A01D5B" w:rsidP="00A01D5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947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требуется получение согласия на совершение сделки в соответствии с настоящим Уставом по нескольким основаниям (кроме предусмотренных законодательством РФ), надлежащим одобрением будет являться получение согласия на совершение такой сделки только по основанию, предусматривающему необходимо</w:t>
      </w:r>
      <w:r w:rsidR="00566947" w:rsidRPr="00E33F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 большего количества голосов или более высокого кворума для принятия решения о предоставлении согласия;</w:t>
      </w:r>
    </w:p>
    <w:p w:rsidR="00A01D5B" w:rsidRPr="00A0547E" w:rsidRDefault="00A01D5B" w:rsidP="00A01D5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947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требуется получение согласия на совершение сделки в соответствии с подпунктом 10.2.2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66947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Устава и по иным основаниям, предусмо</w:t>
      </w:r>
      <w:r w:rsidR="00566947" w:rsidRPr="00E33F4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тренным настоящим Уставом (кроме предусмотренных законодательством РФ), надлежащим одобрением будет являться получение согласия на совершение такой сделки только по основанию, предусмотренному подпунктом 10.2.2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66947"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Устава;</w:t>
      </w:r>
    </w:p>
    <w:p w:rsidR="00BB38F9" w:rsidRPr="005F61D5" w:rsidRDefault="00A01D5B" w:rsidP="00E15C2F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566947" w:rsidRPr="005F61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требуется получение согласия на совершение сделки в соответствии с настоящим Уставом по нескольким основаниям (кроме предусмотренных законодательством РФ), при одинаковом количестве голосов и одинаковом кворуме для принятия решения по данным основаниям надлежащим одобрением будет являться согласие по одному (любому) из указанных оснований.».</w:t>
      </w:r>
    </w:p>
    <w:p w:rsidR="00566947" w:rsidRPr="005F61D5" w:rsidRDefault="00566947" w:rsidP="00E15C2F">
      <w:pPr>
        <w:pStyle w:val="afb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28790532"/>
      <w:r w:rsidRPr="005F6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пункт 13.3 раздела 13 Устава </w:t>
      </w:r>
      <w:r w:rsidR="005F6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Общества </w:t>
      </w:r>
      <w:r w:rsidRPr="005F61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следующей редакции:</w:t>
      </w:r>
    </w:p>
    <w:p w:rsidR="00566947" w:rsidRDefault="00566947" w:rsidP="005F61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F4A">
        <w:rPr>
          <w:rFonts w:ascii="Times New Roman" w:eastAsia="Times New Roman" w:hAnsi="Times New Roman" w:cs="Times New Roman"/>
          <w:sz w:val="24"/>
          <w:szCs w:val="24"/>
          <w:lang w:eastAsia="ru-RU"/>
        </w:rPr>
        <w:t>«13.3. Контролирующим лицом для целей настоящего Устава признается лицо, имеющее право прямо и (или) косвенно (через подконтрольных ему лиц) распоряжаться в силу участия в подконтрольной организации и (или) на основании договоров доверительного управления имуществом, и (или) простого товарищества, и (или) поручения, и (или) акционерного соглашения или соглашения участников, и (или) иного соглашения, предметом которого является осуществление или определение порядка осуществления прав, удостоверенных акциями (долями) подконтрольной организации, 50 (Пятьюдесятью) и более процентами голосов (для АО – 50 (Пятьюдесятью) и более процентами голосов владельцев обыкновенных акций) в высшем органе управления подконтрольной организации. Подконтрольным лицом (подконтрольной организацией) признается юридическое лицо,</w:t>
      </w:r>
      <w:bookmarkStart w:id="1" w:name="_GoBack"/>
      <w:bookmarkEnd w:id="1"/>
      <w:r w:rsidRPr="00E33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находящееся под прямым или косвенным контролем контролирующего лица. Российская Федерация, субъект Российской Федерации, муниципальное образование не признаются контролирующими лицами.</w:t>
      </w:r>
      <w:bookmarkEnd w:id="0"/>
      <w:r w:rsidRPr="00E33F4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560C9" w:rsidRDefault="000560C9" w:rsidP="000560C9">
      <w:pPr>
        <w:pStyle w:val="afb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раздел 14 Устава Общества пунктом 14.3 в следующей редакции:</w:t>
      </w:r>
    </w:p>
    <w:p w:rsidR="000560C9" w:rsidRPr="000560C9" w:rsidRDefault="000560C9" w:rsidP="000560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«14.3. Общество ежеквартально составляет промежуточную бухгалтерскую (финансовую) отчетность.».</w:t>
      </w:r>
    </w:p>
    <w:p w:rsidR="00566947" w:rsidRPr="000560C9" w:rsidRDefault="00566947" w:rsidP="00566947">
      <w:pPr>
        <w:pStyle w:val="af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947" w:rsidRPr="00E33F4A" w:rsidRDefault="00566947" w:rsidP="005669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947" w:rsidRPr="00E33F4A" w:rsidRDefault="00566947" w:rsidP="005669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947" w:rsidRPr="00E33F4A" w:rsidRDefault="00566947" w:rsidP="005669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947" w:rsidRPr="00E33F4A" w:rsidRDefault="00566947" w:rsidP="005669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947" w:rsidRPr="00E33F4A" w:rsidRDefault="00566947" w:rsidP="005669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E72" w:rsidRPr="00E15C2F" w:rsidRDefault="00FE0E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E0E72" w:rsidRPr="00E15C2F" w:rsidSect="00E15C2F">
      <w:footerReference w:type="default" r:id="rId7"/>
      <w:pgSz w:w="11906" w:h="16838"/>
      <w:pgMar w:top="1134" w:right="851" w:bottom="1134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057" w:rsidRDefault="001D1057">
      <w:pPr>
        <w:spacing w:after="0" w:line="240" w:lineRule="auto"/>
      </w:pPr>
      <w:r>
        <w:separator/>
      </w:r>
    </w:p>
  </w:endnote>
  <w:endnote w:type="continuationSeparator" w:id="0">
    <w:p w:rsidR="001D1057" w:rsidRDefault="001D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ani">
    <w:altName w:val="Gadug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1523835"/>
      <w:docPartObj>
        <w:docPartGallery w:val="Page Numbers (Bottom of Page)"/>
        <w:docPartUnique/>
      </w:docPartObj>
    </w:sdtPr>
    <w:sdtEndPr/>
    <w:sdtContent>
      <w:p w:rsidR="00356C5F" w:rsidRDefault="00356C5F" w:rsidP="00E15C2F">
        <w:pPr>
          <w:pStyle w:val="ac"/>
          <w:jc w:val="right"/>
        </w:pPr>
        <w:r w:rsidRPr="00E15C2F">
          <w:rPr>
            <w:rFonts w:ascii="Times New Roman" w:hAnsi="Times New Roman" w:cs="Times New Roman"/>
          </w:rPr>
          <w:fldChar w:fldCharType="begin"/>
        </w:r>
        <w:r w:rsidRPr="00E15C2F">
          <w:rPr>
            <w:rFonts w:ascii="Times New Roman" w:hAnsi="Times New Roman" w:cs="Times New Roman"/>
          </w:rPr>
          <w:instrText>PAGE   \* MERGEFORMAT</w:instrText>
        </w:r>
        <w:r w:rsidRPr="00E15C2F">
          <w:rPr>
            <w:rFonts w:ascii="Times New Roman" w:hAnsi="Times New Roman" w:cs="Times New Roman"/>
          </w:rPr>
          <w:fldChar w:fldCharType="separate"/>
        </w:r>
        <w:r w:rsidR="000560C9">
          <w:rPr>
            <w:rFonts w:ascii="Times New Roman" w:hAnsi="Times New Roman" w:cs="Times New Roman"/>
            <w:noProof/>
          </w:rPr>
          <w:t>4</w:t>
        </w:r>
        <w:r w:rsidRPr="00E15C2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057" w:rsidRDefault="001D1057">
      <w:pPr>
        <w:spacing w:after="0" w:line="240" w:lineRule="auto"/>
      </w:pPr>
      <w:r>
        <w:separator/>
      </w:r>
    </w:p>
  </w:footnote>
  <w:footnote w:type="continuationSeparator" w:id="0">
    <w:p w:rsidR="001D1057" w:rsidRDefault="001D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87B0C"/>
    <w:multiLevelType w:val="hybridMultilevel"/>
    <w:tmpl w:val="A2040960"/>
    <w:lvl w:ilvl="0" w:tplc="E1F4CB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single"/>
      </w:rPr>
    </w:lvl>
    <w:lvl w:ilvl="1" w:tplc="45FC521A">
      <w:start w:val="1"/>
      <w:numFmt w:val="lowerLetter"/>
      <w:lvlText w:val="%2."/>
      <w:lvlJc w:val="left"/>
      <w:pPr>
        <w:ind w:left="1440" w:hanging="360"/>
      </w:pPr>
    </w:lvl>
    <w:lvl w:ilvl="2" w:tplc="46CC8A5C">
      <w:start w:val="1"/>
      <w:numFmt w:val="lowerRoman"/>
      <w:lvlText w:val="%3."/>
      <w:lvlJc w:val="right"/>
      <w:pPr>
        <w:ind w:left="2160" w:hanging="180"/>
      </w:pPr>
    </w:lvl>
    <w:lvl w:ilvl="3" w:tplc="83BAFFC2">
      <w:start w:val="1"/>
      <w:numFmt w:val="decimal"/>
      <w:lvlText w:val="%4."/>
      <w:lvlJc w:val="left"/>
      <w:pPr>
        <w:ind w:left="2880" w:hanging="360"/>
      </w:pPr>
    </w:lvl>
    <w:lvl w:ilvl="4" w:tplc="5D5059B0">
      <w:start w:val="1"/>
      <w:numFmt w:val="lowerLetter"/>
      <w:lvlText w:val="%5."/>
      <w:lvlJc w:val="left"/>
      <w:pPr>
        <w:ind w:left="3600" w:hanging="360"/>
      </w:pPr>
    </w:lvl>
    <w:lvl w:ilvl="5" w:tplc="223C9FA2">
      <w:start w:val="1"/>
      <w:numFmt w:val="lowerRoman"/>
      <w:lvlText w:val="%6."/>
      <w:lvlJc w:val="right"/>
      <w:pPr>
        <w:ind w:left="4320" w:hanging="180"/>
      </w:pPr>
    </w:lvl>
    <w:lvl w:ilvl="6" w:tplc="ADCC1E72">
      <w:start w:val="1"/>
      <w:numFmt w:val="decimal"/>
      <w:lvlText w:val="%7."/>
      <w:lvlJc w:val="left"/>
      <w:pPr>
        <w:ind w:left="5040" w:hanging="360"/>
      </w:pPr>
    </w:lvl>
    <w:lvl w:ilvl="7" w:tplc="523C1E44">
      <w:start w:val="1"/>
      <w:numFmt w:val="lowerLetter"/>
      <w:lvlText w:val="%8."/>
      <w:lvlJc w:val="left"/>
      <w:pPr>
        <w:ind w:left="5760" w:hanging="360"/>
      </w:pPr>
    </w:lvl>
    <w:lvl w:ilvl="8" w:tplc="632643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E3F68"/>
    <w:multiLevelType w:val="hybridMultilevel"/>
    <w:tmpl w:val="DEFE6D86"/>
    <w:lvl w:ilvl="0" w:tplc="9DC049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8F83AA1"/>
    <w:multiLevelType w:val="hybridMultilevel"/>
    <w:tmpl w:val="E09AFB50"/>
    <w:lvl w:ilvl="0" w:tplc="C428AA42">
      <w:start w:val="1"/>
      <w:numFmt w:val="bullet"/>
      <w:lvlText w:val="-"/>
      <w:lvlJc w:val="left"/>
      <w:pPr>
        <w:ind w:left="720" w:hanging="360"/>
      </w:pPr>
      <w:rPr>
        <w:rFonts w:ascii="Vani" w:hAnsi="Vani" w:hint="default"/>
      </w:rPr>
    </w:lvl>
    <w:lvl w:ilvl="1" w:tplc="13E6A7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C6A8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320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07E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4838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003C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2E8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B42D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E4D8A"/>
    <w:multiLevelType w:val="hybridMultilevel"/>
    <w:tmpl w:val="53F40988"/>
    <w:lvl w:ilvl="0" w:tplc="C28AAC1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72"/>
    <w:rsid w:val="00000A01"/>
    <w:rsid w:val="00047F06"/>
    <w:rsid w:val="000560C9"/>
    <w:rsid w:val="000614B8"/>
    <w:rsid w:val="000F25C1"/>
    <w:rsid w:val="00135F41"/>
    <w:rsid w:val="00141984"/>
    <w:rsid w:val="00147D94"/>
    <w:rsid w:val="00160962"/>
    <w:rsid w:val="00174CB2"/>
    <w:rsid w:val="001D1057"/>
    <w:rsid w:val="001E64CC"/>
    <w:rsid w:val="00341BB7"/>
    <w:rsid w:val="00356C5F"/>
    <w:rsid w:val="00360A09"/>
    <w:rsid w:val="003727A7"/>
    <w:rsid w:val="003A4C7E"/>
    <w:rsid w:val="00404EE9"/>
    <w:rsid w:val="004F513F"/>
    <w:rsid w:val="0053525D"/>
    <w:rsid w:val="005526F6"/>
    <w:rsid w:val="00554CC6"/>
    <w:rsid w:val="00566947"/>
    <w:rsid w:val="00592199"/>
    <w:rsid w:val="005F61D5"/>
    <w:rsid w:val="006B7D38"/>
    <w:rsid w:val="006E6132"/>
    <w:rsid w:val="00714114"/>
    <w:rsid w:val="0073399C"/>
    <w:rsid w:val="00735CFB"/>
    <w:rsid w:val="00745F74"/>
    <w:rsid w:val="00792AC3"/>
    <w:rsid w:val="007B1CFA"/>
    <w:rsid w:val="007C4029"/>
    <w:rsid w:val="00853351"/>
    <w:rsid w:val="00887090"/>
    <w:rsid w:val="008D7924"/>
    <w:rsid w:val="009673F3"/>
    <w:rsid w:val="00970511"/>
    <w:rsid w:val="009A1A01"/>
    <w:rsid w:val="009B396E"/>
    <w:rsid w:val="00A01D5B"/>
    <w:rsid w:val="00A0547E"/>
    <w:rsid w:val="00A27812"/>
    <w:rsid w:val="00A47E27"/>
    <w:rsid w:val="00A63D94"/>
    <w:rsid w:val="00A85598"/>
    <w:rsid w:val="00A97DE0"/>
    <w:rsid w:val="00B5755F"/>
    <w:rsid w:val="00B579F9"/>
    <w:rsid w:val="00BA266B"/>
    <w:rsid w:val="00BA638C"/>
    <w:rsid w:val="00BB38F9"/>
    <w:rsid w:val="00BE47C4"/>
    <w:rsid w:val="00C05C3E"/>
    <w:rsid w:val="00C36541"/>
    <w:rsid w:val="00CA5E18"/>
    <w:rsid w:val="00CC2DD9"/>
    <w:rsid w:val="00DB3FB0"/>
    <w:rsid w:val="00DE6E4B"/>
    <w:rsid w:val="00E15C2F"/>
    <w:rsid w:val="00E33F4A"/>
    <w:rsid w:val="00EB44AF"/>
    <w:rsid w:val="00EE5564"/>
    <w:rsid w:val="00FE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D47A"/>
  <w15:docId w15:val="{B8733338-7546-4F95-A71C-B190EB23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uiPriority w:val="99"/>
    <w:semiHidden/>
    <w:unhideWhenUsed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</w:style>
  <w:style w:type="paragraph" w:styleId="af9">
    <w:name w:val="Body Text First Indent"/>
    <w:basedOn w:val="af7"/>
    <w:link w:val="afa"/>
    <w:uiPriority w:val="99"/>
    <w:semiHidden/>
    <w:unhideWhenUsed/>
    <w:pPr>
      <w:spacing w:before="100" w:after="10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Красная строка Знак"/>
    <w:basedOn w:val="af8"/>
    <w:link w:val="af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1"/>
    <w:basedOn w:val="a1"/>
    <w:next w:val="af"/>
    <w:uiPriority w:val="39"/>
    <w:rsid w:val="007141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"/>
    <w:uiPriority w:val="39"/>
    <w:rsid w:val="007141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"/>
    <w:uiPriority w:val="39"/>
    <w:rsid w:val="009A1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f"/>
    <w:uiPriority w:val="39"/>
    <w:rsid w:val="009A1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"/>
    <w:uiPriority w:val="39"/>
    <w:rsid w:val="00CA5E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1904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12735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Палинова</dc:creator>
  <cp:lastModifiedBy>Куликов Евгений Валентинович</cp:lastModifiedBy>
  <cp:revision>3</cp:revision>
  <cp:lastPrinted>2022-02-07T23:57:00Z</cp:lastPrinted>
  <dcterms:created xsi:type="dcterms:W3CDTF">2022-04-21T05:34:00Z</dcterms:created>
  <dcterms:modified xsi:type="dcterms:W3CDTF">2022-04-21T12:07:00Z</dcterms:modified>
</cp:coreProperties>
</file>