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50638E" w:rsidRPr="0050638E">
        <w:rPr>
          <w:sz w:val="24"/>
          <w:szCs w:val="24"/>
          <w:lang w:eastAsia="en-US"/>
        </w:rPr>
        <w:t>7201-РЕМ ПРОД-2021-ДРСК</w:t>
      </w:r>
      <w:r w:rsidR="008061C0" w:rsidRPr="00DF163F">
        <w:rPr>
          <w:sz w:val="24"/>
          <w:szCs w:val="24"/>
          <w:lang w:eastAsia="en-US"/>
        </w:rPr>
        <w:t xml:space="preserve"> 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0638E">
        <w:rPr>
          <w:bCs/>
          <w:sz w:val="24"/>
          <w:szCs w:val="24"/>
        </w:rPr>
        <w:t>запчасти к масляным выключателям</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50638E">
        <w:rPr>
          <w:bCs/>
          <w:sz w:val="24"/>
          <w:szCs w:val="24"/>
        </w:rPr>
        <w:t xml:space="preserve">ями </w:t>
      </w:r>
      <w:r w:rsidR="00B36852" w:rsidRPr="008A54B6">
        <w:rPr>
          <w:bCs/>
          <w:sz w:val="24"/>
          <w:szCs w:val="24"/>
        </w:rPr>
        <w:t>№ 1, № 2, № 3, № 4, № 5, № 6</w:t>
      </w:r>
      <w:r w:rsidR="00B36852" w:rsidRPr="004959A8">
        <w:rPr>
          <w:bCs/>
          <w:sz w:val="24"/>
          <w:szCs w:val="24"/>
        </w:rPr>
        <w:t xml:space="preserve"> </w:t>
      </w:r>
      <w:r w:rsidR="004959A8" w:rsidRPr="004959A8">
        <w:rPr>
          <w:bCs/>
          <w:sz w:val="24"/>
          <w:szCs w:val="24"/>
        </w:rPr>
        <w:t>(Приложение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A42F7E" w:rsidRPr="000C02C7"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000C02C7">
        <w:rPr>
          <w:bCs/>
          <w:sz w:val="24"/>
          <w:szCs w:val="24"/>
        </w:rPr>
        <w:t xml:space="preserve"> - </w:t>
      </w:r>
      <w:r w:rsidR="000C02C7" w:rsidRPr="000C02C7">
        <w:rPr>
          <w:sz w:val="24"/>
          <w:szCs w:val="24"/>
        </w:rPr>
        <w:t>в течение 100 календарных дней с даты подписания договора поставки, но не ранее 31.12.2020г.</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w:t>
      </w:r>
      <w:r w:rsidR="000C02C7">
        <w:rPr>
          <w:bCs/>
          <w:sz w:val="24"/>
          <w:szCs w:val="24"/>
        </w:rPr>
        <w:t>ю</w:t>
      </w:r>
      <w:r w:rsidRPr="007C5B48">
        <w:rPr>
          <w:bCs/>
          <w:sz w:val="24"/>
          <w:szCs w:val="24"/>
        </w:rPr>
        <w:t>тся филиал</w:t>
      </w:r>
      <w:r w:rsidR="000C02C7">
        <w:rPr>
          <w:bCs/>
          <w:sz w:val="24"/>
          <w:szCs w:val="24"/>
        </w:rPr>
        <w:t>ы</w:t>
      </w:r>
      <w:r w:rsidRPr="007C5B48">
        <w:rPr>
          <w:color w:val="000000"/>
          <w:sz w:val="22"/>
          <w:szCs w:val="22"/>
        </w:rPr>
        <w:t xml:space="preserve"> АО «ДРСК» - </w:t>
      </w:r>
      <w:r w:rsidR="000C02C7" w:rsidRPr="008A54B6">
        <w:rPr>
          <w:color w:val="000000"/>
          <w:sz w:val="24"/>
          <w:szCs w:val="24"/>
        </w:rPr>
        <w:t>«Амурские электрические сети», «Приморские электрические сети», «Хабаровские электрические сети», «Электрические сети ЕАО» и «Южно-Якутские электрические сети»</w:t>
      </w:r>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B36852">
        <w:rPr>
          <w:sz w:val="24"/>
          <w:szCs w:val="24"/>
        </w:rPr>
        <w:t xml:space="preserve">ями </w:t>
      </w:r>
      <w:r w:rsidR="00B36852" w:rsidRPr="008A54B6">
        <w:rPr>
          <w:bCs/>
          <w:sz w:val="24"/>
          <w:szCs w:val="24"/>
        </w:rPr>
        <w:t>№ 1, № 2, № 3, № 4, № 5, № 6</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B36852" w:rsidRDefault="0073039C" w:rsidP="00B36852">
      <w:pPr>
        <w:numPr>
          <w:ilvl w:val="1"/>
          <w:numId w:val="1"/>
        </w:numPr>
        <w:shd w:val="clear" w:color="auto" w:fill="FFFFFF"/>
        <w:tabs>
          <w:tab w:val="clear" w:pos="1851"/>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00F81334" w:rsidRPr="00B36852">
        <w:rPr>
          <w:sz w:val="24"/>
          <w:szCs w:val="22"/>
        </w:rPr>
        <w:t xml:space="preserve">в течение </w:t>
      </w:r>
      <w:r w:rsidR="00F81334" w:rsidRPr="00B36852">
        <w:rPr>
          <w:sz w:val="24"/>
          <w:szCs w:val="22"/>
          <w:highlight w:val="lightGray"/>
        </w:rPr>
        <w:t>30 (тридцати) календарных дней</w:t>
      </w:r>
      <w:r w:rsidR="00F81334" w:rsidRPr="00A97F55">
        <w:rPr>
          <w:rStyle w:val="afc"/>
          <w:sz w:val="24"/>
          <w:szCs w:val="22"/>
        </w:rPr>
        <w:footnoteReference w:id="1"/>
      </w:r>
      <w:r w:rsidR="00F81334" w:rsidRPr="00B36852">
        <w:rPr>
          <w:sz w:val="24"/>
          <w:szCs w:val="22"/>
        </w:rPr>
        <w:t xml:space="preserve"> с даты подписания Сторонами накладной ТОРГ-12</w:t>
      </w:r>
      <w:r w:rsidR="00B36852">
        <w:rPr>
          <w:sz w:val="24"/>
          <w:szCs w:val="22"/>
        </w:rPr>
        <w:t xml:space="preserve"> </w:t>
      </w:r>
      <w:r w:rsidR="00B36852" w:rsidRPr="008A54B6">
        <w:rPr>
          <w:sz w:val="24"/>
          <w:szCs w:val="24"/>
        </w:rPr>
        <w:t xml:space="preserve">или </w:t>
      </w:r>
      <w:r w:rsidR="00B36852" w:rsidRPr="008A54B6">
        <w:rPr>
          <w:rFonts w:eastAsia="Calibri"/>
          <w:sz w:val="24"/>
          <w:szCs w:val="24"/>
        </w:rPr>
        <w:t>Универсального передаточного документа (</w:t>
      </w:r>
      <w:r w:rsidR="00B36852" w:rsidRPr="008A54B6">
        <w:rPr>
          <w:bCs/>
          <w:sz w:val="24"/>
          <w:szCs w:val="24"/>
        </w:rPr>
        <w:t xml:space="preserve">далее – </w:t>
      </w:r>
      <w:r w:rsidR="00B36852" w:rsidRPr="008A54B6">
        <w:rPr>
          <w:rFonts w:eastAsia="Calibri"/>
          <w:sz w:val="24"/>
          <w:szCs w:val="24"/>
        </w:rPr>
        <w:t>УПД)</w:t>
      </w:r>
      <w:r w:rsidR="00F81334" w:rsidRPr="00B36852">
        <w:rPr>
          <w:sz w:val="24"/>
          <w:szCs w:val="22"/>
        </w:rPr>
        <w:t>, на основании счета, выставленного Поставщиком, и с учетом пункта 2.</w:t>
      </w:r>
      <w:r w:rsidR="00C21ECC">
        <w:rPr>
          <w:sz w:val="24"/>
          <w:szCs w:val="22"/>
        </w:rPr>
        <w:t>4</w:t>
      </w:r>
      <w:r w:rsidR="00F81334" w:rsidRPr="00B36852">
        <w:rPr>
          <w:sz w:val="24"/>
          <w:szCs w:val="22"/>
        </w:rPr>
        <w:t>.</w:t>
      </w:r>
      <w:r w:rsidR="00C21ECC">
        <w:rPr>
          <w:sz w:val="24"/>
          <w:szCs w:val="22"/>
        </w:rPr>
        <w:t>1.</w:t>
      </w:r>
      <w:r w:rsidR="00F81334"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lastRenderedPageBreak/>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w:t>
      </w:r>
      <w:r w:rsidR="00690536">
        <w:rPr>
          <w:bCs/>
          <w:sz w:val="24"/>
          <w:szCs w:val="24"/>
        </w:rPr>
        <w:t xml:space="preserve"> 2020-2021</w:t>
      </w:r>
      <w:r w:rsidR="00FB3840" w:rsidRPr="007C5B48">
        <w:rPr>
          <w:bCs/>
          <w:sz w:val="24"/>
          <w:szCs w:val="24"/>
        </w:rPr>
        <w:t xml:space="preserve"> го</w:t>
      </w:r>
      <w:r w:rsidR="00D37BA1">
        <w:rPr>
          <w:bCs/>
          <w:sz w:val="24"/>
          <w:szCs w:val="24"/>
        </w:rPr>
        <w:t xml:space="preserve">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2"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D37BA1">
        <w:rPr>
          <w:sz w:val="24"/>
          <w:szCs w:val="24"/>
        </w:rPr>
        <w:t xml:space="preserve"> или УПД</w:t>
      </w:r>
      <w:r w:rsidRPr="006E50D5">
        <w:rPr>
          <w:sz w:val="24"/>
          <w:szCs w:val="24"/>
        </w:rPr>
        <w:t>.</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lastRenderedPageBreak/>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lastRenderedPageBreak/>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D979EA">
        <w:rPr>
          <w:sz w:val="24"/>
          <w:szCs w:val="24"/>
        </w:rPr>
        <w:t xml:space="preserve"> </w:t>
      </w:r>
      <w:r w:rsidR="008D217A">
        <w:rPr>
          <w:sz w:val="24"/>
          <w:szCs w:val="24"/>
        </w:rPr>
        <w:t>3</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6D34AD">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lastRenderedPageBreak/>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393131"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clear" w:pos="1851"/>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w:t>
      </w:r>
      <w:r w:rsidRPr="006E50D5">
        <w:rPr>
          <w:bCs/>
          <w:sz w:val="24"/>
          <w:szCs w:val="24"/>
        </w:rPr>
        <w:lastRenderedPageBreak/>
        <w:t xml:space="preserve">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51252F">
        <w:rPr>
          <w:bCs/>
          <w:sz w:val="24"/>
          <w:szCs w:val="24"/>
        </w:rPr>
        <w:t>2</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A7B1B">
        <w:rPr>
          <w:bCs/>
          <w:sz w:val="24"/>
          <w:szCs w:val="24"/>
        </w:rPr>
        <w:t xml:space="preserve"> или УПД</w:t>
      </w:r>
      <w:bookmarkStart w:id="5" w:name="_GoBack"/>
      <w:bookmarkEnd w:id="5"/>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21ECC">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w:t>
      </w:r>
      <w:r w:rsidRPr="006E50D5">
        <w:rPr>
          <w:bCs/>
          <w:sz w:val="24"/>
          <w:szCs w:val="24"/>
        </w:rPr>
        <w:lastRenderedPageBreak/>
        <w:t>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7E9D">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lastRenderedPageBreak/>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lastRenderedPageBreak/>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lastRenderedPageBreak/>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lastRenderedPageBreak/>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3627E2">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05018">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76266B">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76266B">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76266B">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76266B">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76266B">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000417D3">
        <w:rPr>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76266B">
        <w:rPr>
          <w:rFonts w:eastAsia="Calibri"/>
          <w:sz w:val="24"/>
          <w:szCs w:val="24"/>
          <w:lang w:eastAsia="en-US"/>
        </w:rPr>
        <w:t>и № 1…..№6</w:t>
      </w:r>
      <w:r w:rsidR="00DA4478" w:rsidRPr="00F32716">
        <w:rPr>
          <w:rFonts w:eastAsia="Calibri"/>
          <w:sz w:val="24"/>
          <w:szCs w:val="24"/>
          <w:lang w:eastAsia="en-US"/>
        </w:rPr>
        <w:t>.</w:t>
      </w:r>
    </w:p>
    <w:p w:rsidR="0076266B" w:rsidRDefault="003B206E" w:rsidP="0076266B">
      <w:pPr>
        <w:ind w:firstLine="709"/>
        <w:jc w:val="both"/>
        <w:rPr>
          <w:bCs/>
          <w:sz w:val="24"/>
          <w:szCs w:val="24"/>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76266B" w:rsidRPr="00D40415">
        <w:rPr>
          <w:bCs/>
          <w:sz w:val="24"/>
          <w:szCs w:val="24"/>
        </w:rPr>
        <w:t xml:space="preserve">Размер ответственности Поставщика за нарушения пропускного и внутриобъектового режима, требований охраны труда, пожарной и промышленной </w:t>
      </w:r>
      <w:r w:rsidR="0076266B" w:rsidRPr="00D40415">
        <w:rPr>
          <w:bCs/>
          <w:sz w:val="24"/>
          <w:szCs w:val="24"/>
        </w:rPr>
        <w:lastRenderedPageBreak/>
        <w:t>безопасности.</w:t>
      </w:r>
    </w:p>
    <w:p w:rsidR="006A07F6" w:rsidRPr="00D40415" w:rsidRDefault="00AB154E" w:rsidP="0076266B">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2"/>
      <w:r w:rsidR="0076266B">
        <w:rPr>
          <w:bCs/>
          <w:sz w:val="24"/>
          <w:szCs w:val="24"/>
        </w:rPr>
        <w:t xml:space="preserve"> </w:t>
      </w:r>
      <w:r w:rsidR="006A07F6" w:rsidRPr="00850A05">
        <w:rPr>
          <w:bCs/>
          <w:sz w:val="24"/>
          <w:szCs w:val="24"/>
        </w:rPr>
        <w:t>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2"/>
          <w:headerReference w:type="first" r:id="rId13"/>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Default="00125FF6" w:rsidP="00125FF6">
      <w:pPr>
        <w:jc w:val="center"/>
        <w:rPr>
          <w:b/>
          <w:sz w:val="24"/>
          <w:szCs w:val="24"/>
        </w:rPr>
      </w:pPr>
      <w:r>
        <w:rPr>
          <w:b/>
          <w:sz w:val="24"/>
          <w:szCs w:val="24"/>
        </w:rPr>
        <w:t xml:space="preserve">СПЕЦИФИКАЦИЯ </w:t>
      </w:r>
      <w:r w:rsidR="007E6F37">
        <w:rPr>
          <w:b/>
          <w:sz w:val="24"/>
          <w:szCs w:val="24"/>
        </w:rPr>
        <w:t>№ 1….№ 6</w:t>
      </w:r>
    </w:p>
    <w:p w:rsidR="00125FF6" w:rsidRPr="004E46AE" w:rsidRDefault="00125FF6" w:rsidP="00125FF6">
      <w:pPr>
        <w:jc w:val="center"/>
        <w:rPr>
          <w:b/>
          <w:sz w:val="24"/>
          <w:szCs w:val="24"/>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Цена единицы, руб. без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7E6F37">
            <w:pPr>
              <w:pStyle w:val="aff4"/>
              <w:spacing w:before="0" w:after="0"/>
              <w:ind w:left="0" w:right="0"/>
              <w:jc w:val="center"/>
              <w:rPr>
                <w:sz w:val="19"/>
                <w:szCs w:val="19"/>
              </w:rPr>
            </w:pPr>
            <w:r w:rsidRPr="00E71DB9">
              <w:rPr>
                <w:b/>
                <w:bCs/>
                <w:sz w:val="19"/>
                <w:szCs w:val="19"/>
              </w:rPr>
              <w:t>Общая цена, руб. без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Итого, руб., без НДС, с транспортными расходами</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 xml:space="preserve">Итого, руб., с НДС, с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593494">
        <w:trPr>
          <w:trHeight w:val="218"/>
        </w:trPr>
        <w:tc>
          <w:tcPr>
            <w:tcW w:w="4502" w:type="dxa"/>
          </w:tcPr>
          <w:p w:rsidR="007E6F37" w:rsidRPr="00E71DB9" w:rsidRDefault="007E6F37" w:rsidP="00593494">
            <w:pPr>
              <w:pStyle w:val="a7"/>
              <w:numPr>
                <w:ilvl w:val="12"/>
                <w:numId w:val="0"/>
              </w:numPr>
              <w:jc w:val="center"/>
              <w:rPr>
                <w:b/>
                <w:sz w:val="21"/>
                <w:szCs w:val="21"/>
              </w:rPr>
            </w:pPr>
            <w:r w:rsidRPr="00E71DB9">
              <w:rPr>
                <w:b/>
                <w:sz w:val="21"/>
                <w:szCs w:val="21"/>
              </w:rPr>
              <w:t>ПОСТАВЩИК</w:t>
            </w:r>
          </w:p>
          <w:p w:rsidR="007E6F37" w:rsidRPr="00E71DB9" w:rsidRDefault="007E6F37" w:rsidP="00593494">
            <w:pPr>
              <w:pStyle w:val="a7"/>
              <w:numPr>
                <w:ilvl w:val="12"/>
                <w:numId w:val="0"/>
              </w:numPr>
              <w:jc w:val="center"/>
              <w:rPr>
                <w:b/>
                <w:spacing w:val="-1"/>
                <w:sz w:val="21"/>
                <w:szCs w:val="21"/>
                <w:lang w:eastAsia="en-US"/>
              </w:rPr>
            </w:pPr>
          </w:p>
          <w:p w:rsidR="007E6F37" w:rsidRPr="00E71DB9" w:rsidRDefault="007E6F37" w:rsidP="00593494">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593494">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jc w:val="center"/>
              <w:rPr>
                <w:b/>
                <w:sz w:val="21"/>
                <w:szCs w:val="21"/>
              </w:rPr>
            </w:pPr>
            <w:r w:rsidRPr="00E71DB9">
              <w:rPr>
                <w:b/>
                <w:sz w:val="21"/>
                <w:szCs w:val="21"/>
              </w:rPr>
              <w:t>ПОКУПАТЕЛЬ</w:t>
            </w:r>
          </w:p>
          <w:p w:rsidR="007E6F37" w:rsidRPr="00E71DB9" w:rsidRDefault="007E6F37" w:rsidP="00593494">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593494">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593494">
            <w:pPr>
              <w:pStyle w:val="a7"/>
              <w:numPr>
                <w:ilvl w:val="12"/>
                <w:numId w:val="0"/>
              </w:numPr>
              <w:jc w:val="center"/>
              <w:rPr>
                <w:sz w:val="21"/>
                <w:szCs w:val="21"/>
              </w:rPr>
            </w:pPr>
          </w:p>
        </w:tc>
      </w:tr>
      <w:tr w:rsidR="007E6F37" w:rsidRPr="00E71DB9" w:rsidTr="00593494">
        <w:trPr>
          <w:trHeight w:val="1325"/>
        </w:trPr>
        <w:tc>
          <w:tcPr>
            <w:tcW w:w="4502" w:type="dxa"/>
          </w:tcPr>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593494">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rPr>
                <w:b/>
                <w:bCs/>
                <w:sz w:val="21"/>
                <w:szCs w:val="21"/>
              </w:rPr>
            </w:pPr>
          </w:p>
          <w:p w:rsidR="007E6F37" w:rsidRDefault="007E6F37" w:rsidP="00593494">
            <w:pPr>
              <w:pStyle w:val="a7"/>
              <w:numPr>
                <w:ilvl w:val="12"/>
                <w:numId w:val="0"/>
              </w:numPr>
              <w:rPr>
                <w:b/>
                <w:bCs/>
                <w:sz w:val="21"/>
                <w:szCs w:val="21"/>
              </w:rPr>
            </w:pPr>
          </w:p>
          <w:p w:rsidR="007E6F37" w:rsidRPr="00E71DB9" w:rsidRDefault="007E6F37" w:rsidP="00593494">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Pr="006E50D5" w:rsidRDefault="007E6F37" w:rsidP="00125FF6">
      <w:pPr>
        <w:widowControl/>
        <w:suppressAutoHyphens/>
        <w:autoSpaceDE/>
        <w:autoSpaceDN/>
        <w:spacing w:line="259" w:lineRule="auto"/>
        <w:jc w:val="center"/>
        <w:rPr>
          <w:rFonts w:eastAsia="Calibri"/>
          <w:b/>
          <w:sz w:val="24"/>
          <w:szCs w:val="24"/>
          <w:lang w:eastAsia="en-US"/>
        </w:rPr>
        <w:sectPr w:rsidR="007E6F37" w:rsidRPr="006E50D5" w:rsidSect="007E6F37">
          <w:pgSz w:w="11906" w:h="16838"/>
          <w:pgMar w:top="1134" w:right="851" w:bottom="1134" w:left="709" w:header="709" w:footer="709" w:gutter="0"/>
          <w:cols w:space="720"/>
          <w:docGrid w:linePitch="299"/>
        </w:sectPr>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8D217A">
        <w:rPr>
          <w:sz w:val="22"/>
          <w:szCs w:val="22"/>
        </w:rPr>
        <w:t>2</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8D217A">
            <w:pPr>
              <w:pageBreakBefore/>
              <w:rPr>
                <w:color w:val="000000"/>
                <w:sz w:val="24"/>
                <w:szCs w:val="24"/>
              </w:rPr>
            </w:pPr>
            <w:r w:rsidRPr="006A07F6">
              <w:rPr>
                <w:color w:val="000000"/>
                <w:sz w:val="24"/>
                <w:szCs w:val="24"/>
              </w:rPr>
              <w:t xml:space="preserve">Приложение № </w:t>
            </w:r>
            <w:r w:rsidR="008D217A">
              <w:rPr>
                <w:color w:val="000000"/>
                <w:sz w:val="24"/>
                <w:szCs w:val="24"/>
              </w:rPr>
              <w:t>3</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04B" w:rsidRDefault="0040004B">
      <w:r>
        <w:separator/>
      </w:r>
    </w:p>
  </w:endnote>
  <w:endnote w:type="continuationSeparator" w:id="0">
    <w:p w:rsidR="0040004B" w:rsidRDefault="0040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Pr="00125FF6" w:rsidRDefault="0040004B"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665B56">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04B" w:rsidRDefault="0040004B">
      <w:r>
        <w:separator/>
      </w:r>
    </w:p>
  </w:footnote>
  <w:footnote w:type="continuationSeparator" w:id="0">
    <w:p w:rsidR="0040004B" w:rsidRDefault="0040004B">
      <w:r>
        <w:continuationSeparator/>
      </w:r>
    </w:p>
  </w:footnote>
  <w:footnote w:id="1">
    <w:p w:rsidR="00F81334" w:rsidRPr="00D72EC8" w:rsidRDefault="00F81334" w:rsidP="00F81334">
      <w:pPr>
        <w:pStyle w:val="afa"/>
        <w:jc w:val="both"/>
      </w:pPr>
      <w:r w:rsidRPr="00D72EC8">
        <w:rPr>
          <w:rStyle w:val="afc"/>
        </w:rPr>
        <w:footnoteRef/>
      </w:r>
      <w:r w:rsidRPr="00D72EC8">
        <w:t xml:space="preserve"> </w:t>
      </w:r>
      <w:r w:rsidR="001D6AF2">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Pr="004A2840" w:rsidRDefault="0068023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31" w:rsidRDefault="00BC1331"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Default="0068023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1AE3"/>
    <w:rsid w:val="00356297"/>
    <w:rsid w:val="00357420"/>
    <w:rsid w:val="0036020D"/>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217A"/>
    <w:rsid w:val="008D3161"/>
    <w:rsid w:val="008D3AD0"/>
    <w:rsid w:val="008D5919"/>
    <w:rsid w:val="008D7E01"/>
    <w:rsid w:val="008E0FD7"/>
    <w:rsid w:val="008E1502"/>
    <w:rsid w:val="008E150C"/>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3B5"/>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37BA1"/>
    <w:rsid w:val="00D40415"/>
    <w:rsid w:val="00D41FCE"/>
    <w:rsid w:val="00D4307D"/>
    <w:rsid w:val="00D47AC7"/>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63F"/>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6416"/>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219DED"/>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91334-C2CF-4125-88E2-0500D2254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7987</Words>
  <Characters>45531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53412</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58</cp:revision>
  <cp:lastPrinted>2020-03-18T06:36:00Z</cp:lastPrinted>
  <dcterms:created xsi:type="dcterms:W3CDTF">2020-03-11T04:15:00Z</dcterms:created>
  <dcterms:modified xsi:type="dcterms:W3CDTF">2020-09-07T07:51:00Z</dcterms:modified>
</cp:coreProperties>
</file>