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</w:t>
      </w:r>
      <w:r w:rsidR="00AA0C8E">
        <w:rPr>
          <w:rFonts w:ascii="Times New Roman" w:hAnsi="Times New Roman" w:cs="Times New Roman"/>
          <w:sz w:val="26"/>
          <w:szCs w:val="26"/>
        </w:rPr>
        <w:t>Восточ</w:t>
      </w:r>
      <w:r w:rsidR="00956DBF">
        <w:rPr>
          <w:rFonts w:ascii="Times New Roman" w:hAnsi="Times New Roman" w:cs="Times New Roman"/>
          <w:sz w:val="26"/>
          <w:szCs w:val="26"/>
        </w:rPr>
        <w:t>ные ЭС»</w:t>
      </w:r>
      <w:r w:rsidR="00AA0C8E">
        <w:rPr>
          <w:rFonts w:ascii="Times New Roman" w:hAnsi="Times New Roman" w:cs="Times New Roman"/>
          <w:sz w:val="26"/>
          <w:szCs w:val="26"/>
        </w:rPr>
        <w:t>, «Северные ЭС»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</w:t>
      </w:r>
      <w:r w:rsidR="00ED1BE8">
        <w:t>20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lastRenderedPageBreak/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 w:rsidR="00CF5820" w:rsidRPr="0080001C">
        <w:lastRenderedPageBreak/>
        <w:t>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D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956DBF">
        <w:rPr>
          <w:rFonts w:ascii="Times New Roman" w:hAnsi="Times New Roman" w:cs="Times New Roman"/>
          <w:sz w:val="24"/>
          <w:szCs w:val="24"/>
        </w:rPr>
        <w:t>с момента заключения договора подряда; окончание работ – в течение 4 (четырех) месяцев с момента заключения договора подряда, не позднее 31.07.2019.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</w:t>
      </w:r>
      <w:r w:rsidR="00956DBF" w:rsidRPr="00FF4099">
        <w:rPr>
          <w:rFonts w:ascii="Times New Roman" w:hAnsi="Times New Roman" w:cs="Times New Roman"/>
          <w:sz w:val="24"/>
          <w:szCs w:val="24"/>
        </w:rPr>
        <w:lastRenderedPageBreak/>
        <w:t>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</w:t>
      </w:r>
      <w:r w:rsidRPr="00362EDF">
        <w:lastRenderedPageBreak/>
        <w:t xml:space="preserve">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75621A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 xml:space="preserve"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</w:t>
      </w:r>
      <w:r w:rsidRPr="0075621A">
        <w:rPr>
          <w:highlight w:val="yellow"/>
        </w:rPr>
        <w:lastRenderedPageBreak/>
        <w:t>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75621A" w:rsidRDefault="000A29A9" w:rsidP="000A29A9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80001C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t>4.1.4</w:t>
      </w:r>
      <w:r w:rsidRPr="00201BB5">
        <w:rPr>
          <w:highlight w:val="yellow"/>
        </w:rPr>
        <w:t>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</w:t>
      </w:r>
      <w:r w:rsidR="00285AD0" w:rsidRPr="0080001C">
        <w:lastRenderedPageBreak/>
        <w:t>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026B2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  <w:rPr>
          <w:highlight w:val="yellow"/>
        </w:rPr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</w:t>
      </w:r>
      <w:r w:rsidRPr="009026B2">
        <w:rPr>
          <w:rFonts w:eastAsiaTheme="minorHAnsi"/>
          <w:highlight w:val="yellow"/>
          <w:lang w:eastAsia="en-US"/>
        </w:rPr>
        <w:t>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либо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 xml:space="preserve">, по которым были выданы первоначальные замечания, Подрядчик выплачивает Заказчику </w:t>
      </w:r>
      <w:r w:rsidRPr="0080001C">
        <w:lastRenderedPageBreak/>
        <w:t>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</w:t>
      </w:r>
      <w:r w:rsidRPr="0080001C">
        <w:lastRenderedPageBreak/>
        <w:t>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 xml:space="preserve"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</w:t>
      </w:r>
      <w:r w:rsidRPr="0080001C">
        <w:lastRenderedPageBreak/>
        <w:t>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A01C49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3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6F519E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4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6F519E">
        <w:rPr>
          <w:highlight w:val="yellow"/>
        </w:rPr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</w:t>
      </w:r>
      <w:r w:rsidRPr="0080001C">
        <w:rPr>
          <w:b w:val="0"/>
          <w:sz w:val="24"/>
          <w:szCs w:val="24"/>
        </w:rPr>
        <w:lastRenderedPageBreak/>
        <w:t>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</w:t>
      </w:r>
      <w:r w:rsidR="004429BB" w:rsidRPr="0080001C">
        <w:rPr>
          <w:rFonts w:ascii="Times New Roman" w:hAnsi="Times New Roman" w:cs="Times New Roman"/>
          <w:sz w:val="24"/>
          <w:szCs w:val="24"/>
        </w:rPr>
        <w:lastRenderedPageBreak/>
        <w:t>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 xml:space="preserve">на </w:t>
      </w:r>
      <w:r w:rsidR="00271659" w:rsidRPr="0080001C">
        <w:lastRenderedPageBreak/>
        <w:t>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317B8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E317B8">
        <w:rPr>
          <w:rFonts w:ascii="Times New Roman" w:hAnsi="Times New Roman" w:cs="Times New Roman"/>
          <w:sz w:val="24"/>
          <w:szCs w:val="24"/>
        </w:rPr>
        <w:t xml:space="preserve">19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lastRenderedPageBreak/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</w:t>
      </w:r>
      <w:r w:rsidRPr="0080001C">
        <w:lastRenderedPageBreak/>
        <w:t>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lastRenderedPageBreak/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</w:t>
      </w:r>
      <w:r w:rsidRPr="0080001C">
        <w:rPr>
          <w:color w:val="000000" w:themeColor="text1"/>
          <w:sz w:val="22"/>
          <w:szCs w:val="22"/>
        </w:rPr>
        <w:lastRenderedPageBreak/>
        <w:t>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</w:t>
      </w:r>
      <w:r w:rsidRPr="0080001C">
        <w:rPr>
          <w:color w:val="000000" w:themeColor="text1"/>
          <w:sz w:val="22"/>
          <w:szCs w:val="22"/>
        </w:rPr>
        <w:lastRenderedPageBreak/>
        <w:t>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lastRenderedPageBreak/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lastRenderedPageBreak/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11D" w:rsidRDefault="001E411D" w:rsidP="00811A71">
      <w:r>
        <w:separator/>
      </w:r>
    </w:p>
  </w:endnote>
  <w:endnote w:type="continuationSeparator" w:id="0">
    <w:p w:rsidR="001E411D" w:rsidRDefault="001E411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11D" w:rsidRDefault="001E411D" w:rsidP="00811A71">
      <w:r>
        <w:separator/>
      </w:r>
    </w:p>
  </w:footnote>
  <w:footnote w:type="continuationSeparator" w:id="0">
    <w:p w:rsidR="001E411D" w:rsidRDefault="001E411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6B25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E411D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28C1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D1BE8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DDBBC5-B4E7-412D-81B9-FCE446D8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3C2D-7B3C-41EB-904F-A3E981A1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6047</Words>
  <Characters>34473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40440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2</cp:revision>
  <cp:lastPrinted>2019-03-25T04:13:00Z</cp:lastPrinted>
  <dcterms:created xsi:type="dcterms:W3CDTF">2019-04-19T08:00:00Z</dcterms:created>
  <dcterms:modified xsi:type="dcterms:W3CDTF">2019-04-19T08:00:00Z</dcterms:modified>
</cp:coreProperties>
</file>