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8746C">
        <w:rPr>
          <w:rFonts w:ascii="Times New Roman" w:hAnsi="Times New Roman"/>
          <w:sz w:val="28"/>
          <w:szCs w:val="28"/>
        </w:rPr>
        <w:t>1</w:t>
      </w:r>
      <w:r w:rsidR="007142F5">
        <w:rPr>
          <w:rFonts w:ascii="Times New Roman" w:hAnsi="Times New Roman"/>
          <w:sz w:val="28"/>
          <w:szCs w:val="28"/>
        </w:rPr>
        <w:t>68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8746C" w:rsidRDefault="00B8746C" w:rsidP="007142F5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C506C">
        <w:rPr>
          <w:b/>
          <w:bCs/>
          <w:snapToGrid w:val="0"/>
          <w:szCs w:val="28"/>
        </w:rPr>
        <w:t xml:space="preserve">запросу котировок в электронном виде </w:t>
      </w:r>
      <w:r>
        <w:rPr>
          <w:b/>
          <w:bCs/>
          <w:szCs w:val="28"/>
        </w:rPr>
        <w:t xml:space="preserve">на право заключения договора  закупка </w:t>
      </w:r>
      <w:r w:rsidR="007142F5" w:rsidRPr="00E25A54">
        <w:rPr>
          <w:b/>
          <w:bCs/>
          <w:i/>
          <w:iCs/>
          <w:snapToGrid w:val="0"/>
          <w:szCs w:val="28"/>
        </w:rPr>
        <w:t xml:space="preserve">Строительство ЛЭП 6-10 </w:t>
      </w:r>
      <w:proofErr w:type="spellStart"/>
      <w:r w:rsidR="007142F5" w:rsidRPr="00E25A54">
        <w:rPr>
          <w:b/>
          <w:bCs/>
          <w:i/>
          <w:iCs/>
          <w:snapToGrid w:val="0"/>
          <w:szCs w:val="28"/>
        </w:rPr>
        <w:t>кВ</w:t>
      </w:r>
      <w:proofErr w:type="spellEnd"/>
      <w:r w:rsidR="007142F5" w:rsidRPr="00E25A54"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ПЭС, </w:t>
      </w:r>
      <w:proofErr w:type="gramStart"/>
      <w:r w:rsidR="007142F5" w:rsidRPr="00E25A54">
        <w:rPr>
          <w:b/>
          <w:bCs/>
          <w:i/>
          <w:iCs/>
          <w:snapToGrid w:val="0"/>
          <w:szCs w:val="28"/>
        </w:rPr>
        <w:t>СТ</w:t>
      </w:r>
      <w:proofErr w:type="gramEnd"/>
      <w:r w:rsidR="007142F5" w:rsidRPr="00E25A54">
        <w:rPr>
          <w:b/>
          <w:bCs/>
          <w:i/>
          <w:iCs/>
          <w:snapToGrid w:val="0"/>
          <w:szCs w:val="28"/>
        </w:rPr>
        <w:t xml:space="preserve"> «Брусника», СНТ «Витамин», СНТ «Кедр-2»</w:t>
      </w:r>
      <w:r w:rsidR="007142F5">
        <w:rPr>
          <w:b/>
          <w:bCs/>
          <w:i/>
          <w:iCs/>
          <w:snapToGrid w:val="0"/>
          <w:szCs w:val="28"/>
        </w:rPr>
        <w:t xml:space="preserve"> </w:t>
      </w:r>
      <w:r w:rsidR="007142F5">
        <w:rPr>
          <w:b/>
          <w:bCs/>
          <w:iCs/>
          <w:snapToGrid w:val="0"/>
          <w:szCs w:val="28"/>
        </w:rPr>
        <w:t xml:space="preserve">закупка </w:t>
      </w:r>
      <w:r w:rsidR="007142F5" w:rsidRPr="00047F77">
        <w:rPr>
          <w:b/>
          <w:bCs/>
          <w:szCs w:val="28"/>
        </w:rPr>
        <w:t xml:space="preserve">№ </w:t>
      </w:r>
      <w:r w:rsidR="007142F5">
        <w:rPr>
          <w:b/>
          <w:bCs/>
          <w:szCs w:val="28"/>
        </w:rPr>
        <w:t xml:space="preserve">12603.1 </w:t>
      </w:r>
      <w:r>
        <w:rPr>
          <w:b/>
          <w:bCs/>
          <w:szCs w:val="28"/>
        </w:rPr>
        <w:t>раздел 2.1.1  ГКПЗ 2019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D5DD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D5DD2">
              <w:rPr>
                <w:b/>
                <w:bCs/>
                <w:caps/>
                <w:sz w:val="24"/>
              </w:rPr>
              <w:t>30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я</w:t>
            </w:r>
            <w:r w:rsidR="00B8746C">
              <w:rPr>
                <w:b/>
                <w:bCs/>
                <w:sz w:val="24"/>
              </w:rPr>
              <w:t>нваря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7142F5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31807371545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ПОДАННЫХ ЗАЯВОК НА </w:t>
      </w:r>
      <w:bookmarkStart w:id="2" w:name="_GoBack"/>
      <w:bookmarkEnd w:id="2"/>
      <w:r w:rsidRPr="00B8746C">
        <w:rPr>
          <w:b/>
          <w:sz w:val="26"/>
          <w:szCs w:val="26"/>
        </w:rPr>
        <w:t>УЧАСТИЕ В ЗАКУПКЕ: 4</w:t>
      </w:r>
      <w:r w:rsidRPr="00B8746C">
        <w:rPr>
          <w:sz w:val="26"/>
          <w:szCs w:val="26"/>
        </w:rPr>
        <w:t xml:space="preserve"> (четыре) заявки.</w:t>
      </w:r>
    </w:p>
    <w:tbl>
      <w:tblPr>
        <w:tblStyle w:val="11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118"/>
      </w:tblGrid>
      <w:tr w:rsidR="00B8746C" w:rsidRPr="00FC485C" w:rsidTr="007142F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7142F5" w:rsidRPr="00F32018" w:rsidTr="007142F5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F5" w:rsidRPr="00F32018" w:rsidRDefault="007142F5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Default="007142F5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142F5" w:rsidRDefault="007142F5" w:rsidP="00B72E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Pr="001429F2" w:rsidRDefault="007142F5" w:rsidP="007142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9F2">
              <w:rPr>
                <w:sz w:val="24"/>
                <w:szCs w:val="24"/>
              </w:rPr>
              <w:t>15.01.2019 14:50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Default="007142F5" w:rsidP="00B72E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5 239 000,00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7142F5" w:rsidRPr="00F32018" w:rsidTr="007142F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F32018" w:rsidRDefault="007142F5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Default="007142F5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142F5" w:rsidRDefault="007142F5" w:rsidP="00B72E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2536299964/253601001 </w:t>
            </w:r>
            <w:r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Pr="001429F2" w:rsidRDefault="007142F5" w:rsidP="007142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9F2">
              <w:rPr>
                <w:sz w:val="24"/>
                <w:szCs w:val="24"/>
              </w:rPr>
              <w:t>16.01.2019 04:11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Default="007142F5" w:rsidP="00B72E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5 500 000,00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1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7142F5" w:rsidRPr="00BE1C95" w:rsidRDefault="007142F5" w:rsidP="007142F5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7142F5" w:rsidRPr="00BE1C95" w:rsidRDefault="007142F5" w:rsidP="007142F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142F5" w:rsidRPr="00BE1C95" w:rsidRDefault="007142F5" w:rsidP="007142F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4627"/>
        <w:gridCol w:w="1701"/>
        <w:gridCol w:w="2835"/>
      </w:tblGrid>
      <w:tr w:rsidR="007142F5" w:rsidRPr="007142F5" w:rsidTr="007142F5">
        <w:trPr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F5" w:rsidRPr="007142F5" w:rsidRDefault="007142F5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142F5">
              <w:rPr>
                <w:b/>
                <w:i/>
                <w:sz w:val="20"/>
                <w:lang w:eastAsia="en-US"/>
              </w:rPr>
              <w:t>№</w:t>
            </w:r>
          </w:p>
          <w:p w:rsidR="007142F5" w:rsidRPr="007142F5" w:rsidRDefault="007142F5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proofErr w:type="gramStart"/>
            <w:r w:rsidRPr="007142F5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7142F5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F5" w:rsidRPr="007142F5" w:rsidRDefault="007142F5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142F5">
              <w:rPr>
                <w:b/>
                <w:i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7142F5" w:rsidRDefault="007142F5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142F5">
              <w:rPr>
                <w:b/>
                <w:i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F5" w:rsidRPr="007142F5" w:rsidRDefault="007142F5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142F5">
              <w:rPr>
                <w:b/>
                <w:i/>
                <w:sz w:val="20"/>
                <w:lang w:eastAsia="en-US"/>
              </w:rPr>
              <w:t>Цена заявки, руб. без НДС.</w:t>
            </w:r>
          </w:p>
        </w:tc>
      </w:tr>
      <w:tr w:rsidR="007142F5" w:rsidRPr="00F32018" w:rsidTr="007142F5">
        <w:trPr>
          <w:trHeight w:val="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F5" w:rsidRPr="00F32018" w:rsidRDefault="007142F5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Default="007142F5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142F5" w:rsidRDefault="007142F5" w:rsidP="00B72E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Pr="001429F2" w:rsidRDefault="007142F5" w:rsidP="007142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9F2">
              <w:rPr>
                <w:sz w:val="24"/>
                <w:szCs w:val="24"/>
              </w:rPr>
              <w:t>15.01.2019 14:50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Default="007142F5" w:rsidP="00B72E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5 239 000,00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7142F5" w:rsidRPr="00F32018" w:rsidTr="007142F5">
        <w:trPr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F32018" w:rsidRDefault="007142F5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Default="007142F5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142F5" w:rsidRDefault="007142F5" w:rsidP="00B72E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2536299964/253601001 </w:t>
            </w:r>
            <w:r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Pr="001429F2" w:rsidRDefault="007142F5" w:rsidP="007142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29F2">
              <w:rPr>
                <w:sz w:val="24"/>
                <w:szCs w:val="24"/>
              </w:rPr>
              <w:t>16.01.2019 04:11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Default="007142F5" w:rsidP="00B72E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5 500 000,00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7142F5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7142F5" w:rsidRPr="00FC485C" w:rsidRDefault="007142F5" w:rsidP="007142F5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7142F5" w:rsidRPr="00B959DB" w:rsidRDefault="007142F5" w:rsidP="007142F5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6"/>
          <w:szCs w:val="26"/>
          <w:lang w:eastAsia="en-US"/>
        </w:rPr>
        <w:t>ООО "ТЕХЦЕНТР"</w:t>
      </w:r>
      <w:r>
        <w:rPr>
          <w:rFonts w:eastAsiaTheme="minorHAnsi"/>
          <w:sz w:val="26"/>
          <w:szCs w:val="26"/>
          <w:lang w:eastAsia="en-US"/>
        </w:rPr>
        <w:t xml:space="preserve"> ИНН/КПП 2539057716/253901001 ОГРН 1032502131056, </w:t>
      </w:r>
      <w:r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>
        <w:rPr>
          <w:rFonts w:eastAsiaTheme="minorHAnsi"/>
          <w:b/>
          <w:i/>
          <w:sz w:val="26"/>
          <w:szCs w:val="26"/>
          <w:lang w:eastAsia="en-US"/>
        </w:rPr>
        <w:t>Востокэнергосервис</w:t>
      </w:r>
      <w:proofErr w:type="spellEnd"/>
      <w:r>
        <w:rPr>
          <w:rFonts w:eastAsiaTheme="minorHAnsi"/>
          <w:b/>
          <w:i/>
          <w:sz w:val="26"/>
          <w:szCs w:val="26"/>
          <w:lang w:eastAsia="en-US"/>
        </w:rPr>
        <w:t>"</w:t>
      </w:r>
      <w:r>
        <w:rPr>
          <w:rFonts w:eastAsiaTheme="minorHAnsi"/>
          <w:sz w:val="26"/>
          <w:szCs w:val="26"/>
          <w:lang w:eastAsia="en-US"/>
        </w:rPr>
        <w:t xml:space="preserve"> ИНН/КПП 2536299964/253601001 ОГРН 1162536097866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7142F5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7142F5" w:rsidRDefault="007142F5" w:rsidP="007142F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142F5" w:rsidRDefault="007142F5" w:rsidP="007142F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134"/>
        <w:gridCol w:w="2268"/>
        <w:gridCol w:w="1417"/>
      </w:tblGrid>
      <w:tr w:rsidR="007142F5" w:rsidRPr="007142F5" w:rsidTr="007142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142F5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7142F5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7142F5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7142F5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142F5">
              <w:rPr>
                <w:b/>
                <w:i/>
                <w:sz w:val="20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142F5">
              <w:rPr>
                <w:b/>
                <w:i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142F5">
              <w:rPr>
                <w:b/>
                <w:i/>
                <w:sz w:val="20"/>
                <w:lang w:eastAsia="en-US"/>
              </w:rPr>
              <w:t xml:space="preserve">Итоговая цена заявки, </w:t>
            </w:r>
            <w:r w:rsidRPr="007142F5">
              <w:rPr>
                <w:b/>
                <w:i/>
                <w:sz w:val="20"/>
                <w:lang w:eastAsia="en-US"/>
              </w:rPr>
              <w:br/>
              <w:t xml:space="preserve">руб. без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142F5">
              <w:rPr>
                <w:b/>
                <w:i/>
                <w:sz w:val="20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7142F5">
              <w:rPr>
                <w:b/>
                <w:i/>
                <w:sz w:val="20"/>
                <w:lang w:eastAsia="en-US"/>
              </w:rPr>
              <w:t>соответствии</w:t>
            </w:r>
            <w:proofErr w:type="gramEnd"/>
            <w:r w:rsidRPr="007142F5">
              <w:rPr>
                <w:b/>
                <w:i/>
                <w:sz w:val="20"/>
                <w:lang w:eastAsia="en-US"/>
              </w:rPr>
              <w:t xml:space="preserve"> с 925-ПП</w:t>
            </w:r>
          </w:p>
        </w:tc>
      </w:tr>
      <w:tr w:rsidR="007142F5" w:rsidRPr="007142F5" w:rsidTr="007142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142F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Pr="007142F5" w:rsidRDefault="007142F5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142F5"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7142F5">
              <w:rPr>
                <w:sz w:val="24"/>
                <w:szCs w:val="24"/>
                <w:lang w:eastAsia="en-US"/>
              </w:rPr>
              <w:t xml:space="preserve"> </w:t>
            </w:r>
          </w:p>
          <w:p w:rsidR="007142F5" w:rsidRPr="007142F5" w:rsidRDefault="007142F5" w:rsidP="00B72E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142F5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7142F5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Pr="007142F5" w:rsidRDefault="007142F5" w:rsidP="00B72E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42F5">
              <w:rPr>
                <w:sz w:val="24"/>
                <w:szCs w:val="24"/>
              </w:rPr>
              <w:t>15.01.2019 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142F5">
              <w:rPr>
                <w:sz w:val="24"/>
                <w:szCs w:val="24"/>
                <w:lang w:eastAsia="en-US"/>
              </w:rPr>
              <w:t xml:space="preserve">Цена: </w:t>
            </w:r>
            <w:r w:rsidRPr="007142F5">
              <w:rPr>
                <w:b/>
                <w:bCs/>
                <w:i/>
                <w:sz w:val="24"/>
                <w:szCs w:val="24"/>
                <w:lang w:eastAsia="en-US"/>
              </w:rPr>
              <w:t xml:space="preserve">5 239 000,00 </w:t>
            </w:r>
            <w:r w:rsidRPr="007142F5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142F5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142F5" w:rsidRPr="007142F5" w:rsidTr="007142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142F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Pr="007142F5" w:rsidRDefault="007142F5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142F5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7142F5"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7142F5">
              <w:rPr>
                <w:b/>
                <w:i/>
                <w:sz w:val="24"/>
                <w:szCs w:val="24"/>
                <w:lang w:eastAsia="en-US"/>
              </w:rPr>
              <w:t>"</w:t>
            </w:r>
            <w:r w:rsidRPr="007142F5">
              <w:rPr>
                <w:sz w:val="24"/>
                <w:szCs w:val="24"/>
                <w:lang w:eastAsia="en-US"/>
              </w:rPr>
              <w:t xml:space="preserve"> </w:t>
            </w:r>
          </w:p>
          <w:p w:rsidR="007142F5" w:rsidRPr="007142F5" w:rsidRDefault="007142F5" w:rsidP="00B72E9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142F5">
              <w:rPr>
                <w:sz w:val="24"/>
                <w:szCs w:val="24"/>
                <w:lang w:eastAsia="en-US"/>
              </w:rPr>
              <w:t xml:space="preserve">ИНН/КПП 2536299964/253601001 </w:t>
            </w:r>
            <w:r w:rsidRPr="007142F5"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F5" w:rsidRPr="007142F5" w:rsidRDefault="007142F5" w:rsidP="00B72E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42F5">
              <w:rPr>
                <w:sz w:val="24"/>
                <w:szCs w:val="24"/>
              </w:rPr>
              <w:t>16.01.2019 04:11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142F5">
              <w:rPr>
                <w:sz w:val="24"/>
                <w:szCs w:val="24"/>
                <w:lang w:eastAsia="en-US"/>
              </w:rPr>
              <w:t xml:space="preserve">Цена: </w:t>
            </w:r>
            <w:r w:rsidRPr="007142F5">
              <w:rPr>
                <w:b/>
                <w:bCs/>
                <w:i/>
                <w:sz w:val="24"/>
                <w:szCs w:val="24"/>
                <w:lang w:eastAsia="en-US"/>
              </w:rPr>
              <w:t xml:space="preserve">5 500 000,00 </w:t>
            </w:r>
            <w:r w:rsidRPr="007142F5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F5" w:rsidRPr="007142F5" w:rsidRDefault="007142F5" w:rsidP="00B72E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142F5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7142F5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7142F5" w:rsidRPr="00556FB4" w:rsidRDefault="007142F5" w:rsidP="00B72E92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7142F5" w:rsidRPr="00E25A54" w:rsidRDefault="007142F5" w:rsidP="007142F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E25A5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E25A54">
        <w:rPr>
          <w:sz w:val="26"/>
          <w:szCs w:val="26"/>
        </w:rPr>
        <w:t>ранжировке</w:t>
      </w:r>
      <w:proofErr w:type="spellEnd"/>
      <w:r w:rsidRPr="00E25A54">
        <w:rPr>
          <w:sz w:val="26"/>
          <w:szCs w:val="26"/>
        </w:rPr>
        <w:t xml:space="preserve"> по степени предпочтительности для Заказчика:</w:t>
      </w:r>
      <w:r w:rsidRPr="00E25A54">
        <w:rPr>
          <w:b/>
          <w:i/>
          <w:sz w:val="26"/>
          <w:szCs w:val="26"/>
        </w:rPr>
        <w:t xml:space="preserve"> </w:t>
      </w:r>
      <w:r w:rsidRPr="00E25A54"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 w:rsidRPr="00E25A54">
        <w:rPr>
          <w:rFonts w:eastAsiaTheme="minorHAnsi"/>
          <w:b/>
          <w:i/>
          <w:sz w:val="26"/>
          <w:szCs w:val="26"/>
          <w:lang w:eastAsia="en-US"/>
        </w:rPr>
        <w:t>Востокэнергосервис</w:t>
      </w:r>
      <w:proofErr w:type="spellEnd"/>
      <w:r w:rsidRPr="00E25A54">
        <w:rPr>
          <w:rFonts w:eastAsiaTheme="minorHAnsi"/>
          <w:b/>
          <w:i/>
          <w:sz w:val="26"/>
          <w:szCs w:val="26"/>
          <w:lang w:eastAsia="en-US"/>
        </w:rPr>
        <w:t>"</w:t>
      </w:r>
      <w:r w:rsidRPr="00E25A54">
        <w:rPr>
          <w:rFonts w:eastAsiaTheme="minorHAnsi"/>
          <w:sz w:val="26"/>
          <w:szCs w:val="26"/>
          <w:lang w:eastAsia="en-US"/>
        </w:rPr>
        <w:t xml:space="preserve"> ИНН/КПП 2536299964/253601001 ОГРН 1162536097866  </w:t>
      </w:r>
      <w:r w:rsidRPr="00E25A54">
        <w:rPr>
          <w:sz w:val="26"/>
          <w:szCs w:val="26"/>
        </w:rPr>
        <w:t xml:space="preserve">с ценой заявки </w:t>
      </w:r>
      <w:r w:rsidRPr="00E25A54">
        <w:rPr>
          <w:sz w:val="26"/>
          <w:szCs w:val="26"/>
          <w:lang w:eastAsia="en-US"/>
        </w:rPr>
        <w:t xml:space="preserve"> </w:t>
      </w:r>
      <w:r w:rsidRPr="00E25A54">
        <w:rPr>
          <w:b/>
          <w:bCs/>
          <w:i/>
          <w:sz w:val="26"/>
          <w:szCs w:val="26"/>
          <w:lang w:eastAsia="en-US"/>
        </w:rPr>
        <w:t xml:space="preserve">5 500 000,00 </w:t>
      </w:r>
      <w:r w:rsidRPr="00E25A54">
        <w:rPr>
          <w:sz w:val="26"/>
          <w:szCs w:val="26"/>
          <w:lang w:eastAsia="en-US"/>
        </w:rPr>
        <w:t>руб. без учета НДС. Срок выполнения работ: с момента заключения договора по 20.04.2019. Условия оплаты: Заказчик перечисляет на расчетный счет Подрядчика</w:t>
      </w:r>
      <w:r>
        <w:rPr>
          <w:sz w:val="26"/>
          <w:szCs w:val="26"/>
          <w:lang w:eastAsia="en-US"/>
        </w:rPr>
        <w:t xml:space="preserve"> аванс (30% от стоимости работ)</w:t>
      </w:r>
      <w:r w:rsidRPr="00E25A54">
        <w:rPr>
          <w:sz w:val="26"/>
          <w:szCs w:val="26"/>
          <w:lang w:eastAsia="en-US"/>
        </w:rPr>
        <w:t xml:space="preserve">. </w:t>
      </w:r>
      <w:r w:rsidRPr="00E25A54">
        <w:rPr>
          <w:sz w:val="26"/>
          <w:szCs w:val="26"/>
        </w:rPr>
        <w:t>Предварительная</w:t>
      </w:r>
      <w:r w:rsidRPr="00E25A54">
        <w:rPr>
          <w:sz w:val="26"/>
          <w:szCs w:val="26"/>
          <w:lang w:eastAsia="en-US"/>
        </w:rPr>
        <w:t xml:space="preserve"> оплата (аванс), вносится в течение 30 (тридцати) календарных дней </w:t>
      </w:r>
      <w:proofErr w:type="gramStart"/>
      <w:r w:rsidRPr="00E25A54">
        <w:rPr>
          <w:sz w:val="26"/>
          <w:szCs w:val="26"/>
          <w:lang w:eastAsia="en-US"/>
        </w:rPr>
        <w:t>с даты получения</w:t>
      </w:r>
      <w:proofErr w:type="gramEnd"/>
      <w:r w:rsidRPr="00E25A54">
        <w:rPr>
          <w:sz w:val="26"/>
          <w:szCs w:val="26"/>
          <w:lang w:eastAsia="en-US"/>
        </w:rPr>
        <w:t xml:space="preserve"> Заказчиком счета, выставленного Подрядчиком, но не ранее чем за 30 (тридцать) календарных дней до даты начала выполнения таких этапов работ.</w:t>
      </w:r>
      <w:r>
        <w:rPr>
          <w:sz w:val="26"/>
          <w:szCs w:val="26"/>
          <w:lang w:eastAsia="en-US"/>
        </w:rPr>
        <w:t xml:space="preserve"> </w:t>
      </w:r>
      <w:r w:rsidRPr="00E25A54">
        <w:rPr>
          <w:sz w:val="26"/>
          <w:szCs w:val="26"/>
          <w:lang w:eastAsia="en-US"/>
        </w:rPr>
        <w:t>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</w:t>
      </w:r>
      <w:r>
        <w:rPr>
          <w:sz w:val="26"/>
          <w:szCs w:val="26"/>
          <w:lang w:eastAsia="en-US"/>
        </w:rPr>
        <w:t>четом зачета авансового платежа</w:t>
      </w:r>
      <w:r w:rsidRPr="00E25A54">
        <w:rPr>
          <w:sz w:val="26"/>
          <w:szCs w:val="26"/>
          <w:lang w:eastAsia="en-US"/>
        </w:rPr>
        <w:t xml:space="preserve">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E25A54">
        <w:rPr>
          <w:sz w:val="26"/>
          <w:szCs w:val="26"/>
          <w:lang w:eastAsia="en-US"/>
        </w:rPr>
        <w:t>с даты подписания</w:t>
      </w:r>
      <w:proofErr w:type="gramEnd"/>
      <w:r w:rsidRPr="00E25A54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</w:t>
      </w:r>
      <w:r>
        <w:rPr>
          <w:sz w:val="26"/>
          <w:szCs w:val="26"/>
          <w:lang w:eastAsia="en-US"/>
        </w:rPr>
        <w:t xml:space="preserve">. Гарантийные обязательства: </w:t>
      </w:r>
      <w:r w:rsidRPr="00E25A54">
        <w:rPr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(шестидесяти), если иное не установлено заводом изготовителем.</w:t>
      </w:r>
    </w:p>
    <w:p w:rsidR="007142F5" w:rsidRPr="00556FB4" w:rsidRDefault="007142F5" w:rsidP="007142F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142F5" w:rsidRDefault="007142F5" w:rsidP="007142F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142F5" w:rsidRPr="00556FB4" w:rsidRDefault="007142F5" w:rsidP="007142F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7142F5" w:rsidRDefault="007142F5" w:rsidP="00DE0923">
      <w:pPr>
        <w:pStyle w:val="a4"/>
        <w:jc w:val="both"/>
        <w:rPr>
          <w:b/>
          <w:sz w:val="26"/>
          <w:szCs w:val="26"/>
        </w:rPr>
      </w:pPr>
    </w:p>
    <w:p w:rsidR="007142F5" w:rsidRDefault="007142F5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B8746C">
      <w:headerReference w:type="default" r:id="rId9"/>
      <w:footerReference w:type="default" r:id="rId10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2E" w:rsidRDefault="006B2D2E" w:rsidP="00355095">
      <w:pPr>
        <w:spacing w:line="240" w:lineRule="auto"/>
      </w:pPr>
      <w:r>
        <w:separator/>
      </w:r>
    </w:p>
  </w:endnote>
  <w:endnote w:type="continuationSeparator" w:id="0">
    <w:p w:rsidR="006B2D2E" w:rsidRDefault="006B2D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5DD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5DD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2E" w:rsidRDefault="006B2D2E" w:rsidP="00355095">
      <w:pPr>
        <w:spacing w:line="240" w:lineRule="auto"/>
      </w:pPr>
      <w:r>
        <w:separator/>
      </w:r>
    </w:p>
  </w:footnote>
  <w:footnote w:type="continuationSeparator" w:id="0">
    <w:p w:rsidR="006B2D2E" w:rsidRDefault="006B2D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7142F5">
      <w:rPr>
        <w:i/>
        <w:sz w:val="20"/>
      </w:rPr>
      <w:t>12603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2CAD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506C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A76D9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2D2E"/>
    <w:rsid w:val="006B3625"/>
    <w:rsid w:val="006B36E3"/>
    <w:rsid w:val="006B61F6"/>
    <w:rsid w:val="006C046C"/>
    <w:rsid w:val="006C1808"/>
    <w:rsid w:val="006C4B51"/>
    <w:rsid w:val="006C78A4"/>
    <w:rsid w:val="006D18A9"/>
    <w:rsid w:val="006D5DD2"/>
    <w:rsid w:val="006E6452"/>
    <w:rsid w:val="006F05A3"/>
    <w:rsid w:val="006F3881"/>
    <w:rsid w:val="006F570C"/>
    <w:rsid w:val="00700899"/>
    <w:rsid w:val="00705A18"/>
    <w:rsid w:val="007142F5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166</cp:revision>
  <cp:lastPrinted>2019-01-25T05:21:00Z</cp:lastPrinted>
  <dcterms:created xsi:type="dcterms:W3CDTF">2014-08-07T23:18:00Z</dcterms:created>
  <dcterms:modified xsi:type="dcterms:W3CDTF">2019-01-30T06:54:00Z</dcterms:modified>
</cp:coreProperties>
</file>