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3C747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22C4C">
              <w:rPr>
                <w:rFonts w:ascii="Times New Roman" w:eastAsia="Times New Roman" w:hAnsi="Times New Roman" w:cs="Times New Roman"/>
                <w:b/>
                <w:bCs/>
                <w:sz w:val="26"/>
                <w:szCs w:val="20"/>
                <w:lang w:eastAsia="ru-RU"/>
              </w:rPr>
              <w:t>213</w:t>
            </w:r>
            <w:r w:rsidR="003C747C">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3C747C">
              <w:rPr>
                <w:b/>
                <w:i/>
                <w:snapToGrid w:val="0"/>
                <w:sz w:val="26"/>
                <w:szCs w:val="26"/>
                <w:lang w:eastAsia="en-US"/>
              </w:rPr>
              <w:t>585</w:t>
            </w:r>
            <w:r>
              <w:rPr>
                <w:b/>
                <w:i/>
                <w:snapToGrid w:val="0"/>
                <w:sz w:val="26"/>
                <w:szCs w:val="26"/>
                <w:lang w:eastAsia="en-US"/>
              </w:rPr>
              <w:t>/УКС</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2D455C">
              <w:rPr>
                <w:b/>
                <w:i/>
                <w:snapToGrid w:val="0"/>
                <w:sz w:val="26"/>
                <w:szCs w:val="26"/>
                <w:lang w:eastAsia="en-US"/>
              </w:rPr>
              <w:t>08»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0E1031">
      <w:pPr>
        <w:pStyle w:val="a"/>
        <w:numPr>
          <w:ilvl w:val="0"/>
          <w:numId w:val="2"/>
        </w:numPr>
        <w:spacing w:before="0" w:line="240" w:lineRule="auto"/>
        <w:ind w:left="0" w:firstLine="556"/>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3C747C" w:rsidRPr="003C747C">
        <w:rPr>
          <w:b/>
          <w:bCs/>
          <w:i/>
          <w:iCs/>
          <w:snapToGrid w:val="0"/>
          <w:sz w:val="26"/>
          <w:szCs w:val="26"/>
        </w:rPr>
        <w:t xml:space="preserve">Мероприятия по строительству и реконструкции для технологического присоединения потребителя Константиновского района (заявитель Глава КФХ ИП </w:t>
      </w:r>
      <w:proofErr w:type="spellStart"/>
      <w:r w:rsidR="003C747C" w:rsidRPr="003C747C">
        <w:rPr>
          <w:b/>
          <w:bCs/>
          <w:i/>
          <w:iCs/>
          <w:snapToGrid w:val="0"/>
          <w:sz w:val="26"/>
          <w:szCs w:val="26"/>
        </w:rPr>
        <w:t>Гринь</w:t>
      </w:r>
      <w:proofErr w:type="spellEnd"/>
      <w:r w:rsidR="003C747C" w:rsidRPr="003C747C">
        <w:rPr>
          <w:b/>
          <w:bCs/>
          <w:i/>
          <w:iCs/>
          <w:snapToGrid w:val="0"/>
          <w:sz w:val="26"/>
          <w:szCs w:val="26"/>
        </w:rPr>
        <w:t xml:space="preserve"> В.А.) к сетям 10-0,4 </w:t>
      </w:r>
      <w:proofErr w:type="spellStart"/>
      <w:r w:rsidR="003C747C" w:rsidRPr="003C747C">
        <w:rPr>
          <w:b/>
          <w:bCs/>
          <w:i/>
          <w:iCs/>
          <w:snapToGrid w:val="0"/>
          <w:sz w:val="26"/>
          <w:szCs w:val="26"/>
        </w:rPr>
        <w:t>кВ</w:t>
      </w:r>
      <w:proofErr w:type="spellEnd"/>
      <w:r w:rsidR="001E039A">
        <w:rPr>
          <w:b/>
          <w:bCs/>
          <w:i/>
          <w:iCs/>
          <w:snapToGrid w:val="0"/>
          <w:sz w:val="26"/>
          <w:szCs w:val="26"/>
        </w:rPr>
        <w:t xml:space="preserve"> </w:t>
      </w:r>
      <w:r w:rsidR="001E039A" w:rsidRPr="001E039A">
        <w:rPr>
          <w:bCs/>
          <w:iCs/>
          <w:snapToGrid w:val="0"/>
          <w:sz w:val="26"/>
          <w:szCs w:val="26"/>
        </w:rPr>
        <w:t>(Лот № 2132.1)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Проведение закупки с использованием фу</w:t>
      </w:r>
      <w:bookmarkStart w:id="0" w:name="_GoBack"/>
      <w:bookmarkEnd w:id="0"/>
      <w:r w:rsidRPr="00DE60DA">
        <w:rPr>
          <w:snapToGrid w:val="0"/>
          <w:sz w:val="26"/>
          <w:szCs w:val="26"/>
        </w:rPr>
        <w:t xml:space="preserve">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в соответствии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в соответствии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0E1031" w:rsidRPr="000E1031">
        <w:rPr>
          <w:b/>
          <w:snapToGrid w:val="0"/>
          <w:sz w:val="26"/>
          <w:szCs w:val="26"/>
        </w:rPr>
        <w:t>2 823 468,36</w:t>
      </w:r>
      <w:r w:rsidR="000E1031">
        <w:rPr>
          <w:snapToGrid w:val="0"/>
          <w:sz w:val="26"/>
          <w:szCs w:val="26"/>
        </w:rPr>
        <w:t xml:space="preserve"> </w:t>
      </w:r>
      <w:r w:rsidRPr="00DE60DA">
        <w:rPr>
          <w:snapToGrid w:val="0"/>
          <w:sz w:val="26"/>
          <w:szCs w:val="26"/>
        </w:rPr>
        <w:t>рублей без учета НДС (</w:t>
      </w:r>
      <w:r w:rsidR="000E1031">
        <w:rPr>
          <w:snapToGrid w:val="0"/>
          <w:sz w:val="26"/>
          <w:szCs w:val="26"/>
        </w:rPr>
        <w:t xml:space="preserve">3 331 692,66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2D455C" w:rsidRPr="002D455C">
        <w:rPr>
          <w:b/>
          <w:i/>
          <w:sz w:val="26"/>
          <w:szCs w:val="26"/>
        </w:rPr>
        <w:t>09</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922C4C">
        <w:rPr>
          <w:b/>
          <w:i/>
          <w:sz w:val="26"/>
          <w:szCs w:val="26"/>
        </w:rPr>
        <w:t>21</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предоставления обеспечения исполнения обязательств </w:t>
      </w:r>
      <w:r w:rsidRPr="009C49FC">
        <w:rPr>
          <w:snapToGrid w:val="0"/>
          <w:sz w:val="26"/>
          <w:szCs w:val="26"/>
        </w:rPr>
        <w:t>Участника закупки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2D455C">
        <w:rPr>
          <w:b/>
          <w:i/>
          <w:sz w:val="26"/>
          <w:szCs w:val="26"/>
        </w:rPr>
        <w:t>09</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1E039A">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1E039A">
        <w:rPr>
          <w:sz w:val="26"/>
          <w:szCs w:val="26"/>
        </w:rPr>
        <w:t>9</w:t>
      </w:r>
      <w:r w:rsidR="00DE60DA" w:rsidRPr="009C49FC">
        <w:rPr>
          <w:sz w:val="26"/>
          <w:szCs w:val="26"/>
        </w:rPr>
        <w:t xml:space="preserve">:00 часов Московского времени) </w:t>
      </w:r>
      <w:r w:rsidR="002D455C">
        <w:rPr>
          <w:b/>
          <w:i/>
          <w:sz w:val="26"/>
          <w:szCs w:val="26"/>
        </w:rPr>
        <w:t>«2</w:t>
      </w:r>
      <w:r w:rsidR="00922C4C">
        <w:rPr>
          <w:b/>
          <w:i/>
          <w:sz w:val="26"/>
          <w:szCs w:val="26"/>
        </w:rPr>
        <w:t>1</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D455C">
        <w:rPr>
          <w:snapToGrid w:val="0"/>
          <w:sz w:val="26"/>
          <w:szCs w:val="26"/>
        </w:rPr>
        <w:t>) времени «14</w:t>
      </w:r>
      <w:r w:rsidR="00DE60DA" w:rsidRPr="009C49FC">
        <w:rPr>
          <w:snapToGrid w:val="0"/>
          <w:sz w:val="26"/>
          <w:szCs w:val="26"/>
        </w:rPr>
        <w:t xml:space="preserve">» </w:t>
      </w:r>
      <w:r w:rsidR="002D455C">
        <w:rPr>
          <w:snapToGrid w:val="0"/>
          <w:sz w:val="26"/>
          <w:szCs w:val="26"/>
        </w:rPr>
        <w:t>сентября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34" w:rsidRDefault="00CC3534" w:rsidP="00E02E0A">
      <w:pPr>
        <w:spacing w:after="0" w:line="240" w:lineRule="auto"/>
      </w:pPr>
      <w:r>
        <w:separator/>
      </w:r>
    </w:p>
  </w:endnote>
  <w:endnote w:type="continuationSeparator" w:id="0">
    <w:p w:rsidR="00CC3534" w:rsidRDefault="00CC3534"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E039A">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34" w:rsidRDefault="00CC3534" w:rsidP="00E02E0A">
      <w:pPr>
        <w:spacing w:after="0" w:line="240" w:lineRule="auto"/>
      </w:pPr>
      <w:r>
        <w:separator/>
      </w:r>
    </w:p>
  </w:footnote>
  <w:footnote w:type="continuationSeparator" w:id="0">
    <w:p w:rsidR="00CC3534" w:rsidRDefault="00CC3534"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E1031"/>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039A"/>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C747C"/>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C7B52"/>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2C4C"/>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3534"/>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2061"/>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F6BC-5D37-4EDF-B66A-4A3EB142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7</cp:revision>
  <cp:lastPrinted>2018-08-08T05:46:00Z</cp:lastPrinted>
  <dcterms:created xsi:type="dcterms:W3CDTF">2018-08-07T23:48:00Z</dcterms:created>
  <dcterms:modified xsi:type="dcterms:W3CDTF">2018-08-08T05:47:00Z</dcterms:modified>
</cp:coreProperties>
</file>