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94B5A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015871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84617C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94B5A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015871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>Закупочной комиссии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015871" w:rsidRPr="00015871">
        <w:rPr>
          <w:b/>
          <w:bCs/>
          <w:sz w:val="26"/>
          <w:szCs w:val="26"/>
        </w:rPr>
        <w:t>«Оформление разрешительной документации по сносу зеленых насаждений, на земляные работы, получение КПТ,</w:t>
      </w:r>
      <w:r w:rsidR="00015871">
        <w:rPr>
          <w:b/>
          <w:bCs/>
          <w:sz w:val="26"/>
          <w:szCs w:val="26"/>
        </w:rPr>
        <w:t xml:space="preserve"> </w:t>
      </w:r>
      <w:r w:rsidR="00015871" w:rsidRPr="00015871">
        <w:rPr>
          <w:b/>
          <w:bCs/>
          <w:sz w:val="26"/>
          <w:szCs w:val="26"/>
        </w:rPr>
        <w:t xml:space="preserve">согласование трассировки объектов </w:t>
      </w:r>
      <w:proofErr w:type="spellStart"/>
      <w:r w:rsidR="00015871" w:rsidRPr="00015871">
        <w:rPr>
          <w:b/>
          <w:bCs/>
          <w:sz w:val="26"/>
          <w:szCs w:val="26"/>
        </w:rPr>
        <w:t>техприсоединения</w:t>
      </w:r>
      <w:proofErr w:type="spellEnd"/>
      <w:r w:rsidR="00015871" w:rsidRPr="00015871">
        <w:rPr>
          <w:b/>
          <w:bCs/>
          <w:sz w:val="26"/>
          <w:szCs w:val="26"/>
        </w:rPr>
        <w:t xml:space="preserve"> для нужд филиала ХЭС», закупка 101  р. 2.1.1 ГКПЗ 2018</w:t>
      </w:r>
    </w:p>
    <w:p w:rsidR="00015871" w:rsidRDefault="00015871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847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8478A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87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15871" w:rsidRDefault="00015871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015871">
        <w:rPr>
          <w:b/>
          <w:sz w:val="26"/>
          <w:szCs w:val="26"/>
        </w:rPr>
        <w:t>СПОСОБ И ПРЕДМЕТ ЗАКУПКИ:</w:t>
      </w:r>
      <w:r w:rsidRPr="00015871">
        <w:t xml:space="preserve"> </w:t>
      </w:r>
      <w:r w:rsidRPr="00015871">
        <w:rPr>
          <w:sz w:val="26"/>
          <w:szCs w:val="26"/>
        </w:rPr>
        <w:t>открытый запрос предложений на право заключения договора на выполнение работ</w:t>
      </w:r>
      <w:r w:rsidRPr="00015871">
        <w:rPr>
          <w:b/>
          <w:sz w:val="26"/>
          <w:szCs w:val="26"/>
        </w:rPr>
        <w:t xml:space="preserve"> </w:t>
      </w:r>
      <w:r w:rsidRPr="00015871">
        <w:rPr>
          <w:b/>
          <w:i/>
          <w:sz w:val="26"/>
          <w:szCs w:val="26"/>
        </w:rPr>
        <w:t xml:space="preserve">«Оформление разрешительной документации по сносу зеленых насаждений, на земляные работы, получение КПТ, согласование трассировки объектов </w:t>
      </w:r>
      <w:proofErr w:type="spellStart"/>
      <w:r w:rsidRPr="00015871">
        <w:rPr>
          <w:b/>
          <w:i/>
          <w:sz w:val="26"/>
          <w:szCs w:val="26"/>
        </w:rPr>
        <w:t>техприсоединения</w:t>
      </w:r>
      <w:proofErr w:type="spellEnd"/>
      <w:r w:rsidRPr="00015871">
        <w:rPr>
          <w:b/>
          <w:i/>
          <w:sz w:val="26"/>
          <w:szCs w:val="26"/>
        </w:rPr>
        <w:t xml:space="preserve"> для нужд филиала ХЭС»</w:t>
      </w:r>
      <w:r w:rsidRPr="00015871">
        <w:rPr>
          <w:b/>
          <w:sz w:val="26"/>
          <w:szCs w:val="26"/>
        </w:rPr>
        <w:t xml:space="preserve">, </w:t>
      </w:r>
      <w:r w:rsidRPr="00015871">
        <w:rPr>
          <w:sz w:val="26"/>
          <w:szCs w:val="26"/>
        </w:rPr>
        <w:t>закупка 101  р. 2.1.1 ГКПЗ 2018</w:t>
      </w:r>
    </w:p>
    <w:p w:rsidR="00015871" w:rsidRDefault="00015871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bookmarkStart w:id="2" w:name="_GoBack"/>
      <w:bookmarkEnd w:id="2"/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15871" w:rsidRDefault="00015871" w:rsidP="0001587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15871" w:rsidRDefault="00015871" w:rsidP="0001587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DE77CD">
        <w:rPr>
          <w:bCs/>
          <w:i/>
          <w:iCs/>
          <w:sz w:val="26"/>
          <w:szCs w:val="26"/>
        </w:rPr>
        <w:t>ООО "ГЕОТОЧКА 27"</w:t>
      </w:r>
    </w:p>
    <w:p w:rsidR="00015871" w:rsidRPr="0095776E" w:rsidRDefault="00015871" w:rsidP="0001587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DE77CD">
        <w:rPr>
          <w:bCs/>
          <w:i/>
          <w:iCs/>
          <w:sz w:val="26"/>
          <w:szCs w:val="26"/>
        </w:rPr>
        <w:t>ООО «Амур-ЭП»</w:t>
      </w:r>
    </w:p>
    <w:p w:rsidR="00015871" w:rsidRPr="00D121B6" w:rsidRDefault="00015871" w:rsidP="0001587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>
        <w:rPr>
          <w:bCs/>
          <w:i/>
          <w:iCs/>
          <w:sz w:val="26"/>
          <w:szCs w:val="26"/>
        </w:rPr>
        <w:t xml:space="preserve">признании открытого запроса предложений </w:t>
      </w:r>
      <w:proofErr w:type="gramStart"/>
      <w:r>
        <w:rPr>
          <w:bCs/>
          <w:i/>
          <w:iCs/>
          <w:sz w:val="26"/>
          <w:szCs w:val="26"/>
        </w:rPr>
        <w:t>несостоявшимся</w:t>
      </w:r>
      <w:proofErr w:type="gramEnd"/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015871" w:rsidRDefault="00015871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015871" w:rsidRDefault="00015871" w:rsidP="0001587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15871" w:rsidRPr="001035D0" w:rsidRDefault="00015871" w:rsidP="0001587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634"/>
        <w:gridCol w:w="5670"/>
      </w:tblGrid>
      <w:tr w:rsidR="00015871" w:rsidRPr="00B20A0B" w:rsidTr="00D2610E">
        <w:trPr>
          <w:trHeight w:val="70"/>
        </w:trPr>
        <w:tc>
          <w:tcPr>
            <w:tcW w:w="477" w:type="dxa"/>
          </w:tcPr>
          <w:p w:rsidR="00015871" w:rsidRPr="00B20A0B" w:rsidRDefault="00015871" w:rsidP="00A61A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4" w:type="dxa"/>
          </w:tcPr>
          <w:p w:rsidR="00015871" w:rsidRPr="00B20A0B" w:rsidRDefault="00015871" w:rsidP="00A61A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670" w:type="dxa"/>
          </w:tcPr>
          <w:p w:rsidR="00015871" w:rsidRPr="00B20A0B" w:rsidRDefault="00015871" w:rsidP="00A61A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015871" w:rsidRPr="00003C8E" w:rsidTr="00D2610E">
        <w:trPr>
          <w:trHeight w:val="70"/>
        </w:trPr>
        <w:tc>
          <w:tcPr>
            <w:tcW w:w="477" w:type="dxa"/>
          </w:tcPr>
          <w:p w:rsidR="00015871" w:rsidRPr="00003C8E" w:rsidRDefault="00015871" w:rsidP="00A61A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216BC">
              <w:rPr>
                <w:b/>
                <w:i/>
                <w:sz w:val="26"/>
                <w:szCs w:val="26"/>
              </w:rPr>
              <w:t>ООО "ГЕОТОЧКА 27"</w:t>
            </w:r>
            <w:r w:rsidRPr="008216BC">
              <w:rPr>
                <w:sz w:val="26"/>
                <w:szCs w:val="26"/>
              </w:rPr>
              <w:t xml:space="preserve"> </w:t>
            </w:r>
            <w:r w:rsidRPr="008216BC">
              <w:rPr>
                <w:sz w:val="26"/>
                <w:szCs w:val="26"/>
              </w:rPr>
              <w:br/>
              <w:t xml:space="preserve">ИНН/КПП 2724185208/272401001 </w:t>
            </w:r>
            <w:r w:rsidRPr="008216BC">
              <w:rPr>
                <w:sz w:val="26"/>
                <w:szCs w:val="26"/>
              </w:rPr>
              <w:br/>
              <w:t>ОГРН 1142724000308</w:t>
            </w:r>
          </w:p>
        </w:tc>
        <w:tc>
          <w:tcPr>
            <w:tcW w:w="5670" w:type="dxa"/>
          </w:tcPr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16BC">
              <w:rPr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16BC">
              <w:rPr>
                <w:sz w:val="26"/>
                <w:szCs w:val="26"/>
              </w:rPr>
              <w:t>2 000 000.00 руб. без учета НДС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16BC">
              <w:rPr>
                <w:sz w:val="26"/>
                <w:szCs w:val="26"/>
              </w:rPr>
              <w:t>НДС не предусмотрен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16BC">
              <w:rPr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16BC">
              <w:rPr>
                <w:b/>
                <w:i/>
                <w:sz w:val="26"/>
                <w:szCs w:val="26"/>
              </w:rPr>
              <w:t>359 222,21 руб. без учета НДС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16BC">
              <w:rPr>
                <w:i/>
                <w:sz w:val="26"/>
                <w:szCs w:val="26"/>
              </w:rPr>
              <w:t>НДС не предусмотрен</w:t>
            </w:r>
          </w:p>
        </w:tc>
      </w:tr>
      <w:tr w:rsidR="00015871" w:rsidRPr="00003C8E" w:rsidTr="00D2610E">
        <w:trPr>
          <w:trHeight w:val="70"/>
        </w:trPr>
        <w:tc>
          <w:tcPr>
            <w:tcW w:w="477" w:type="dxa"/>
          </w:tcPr>
          <w:p w:rsidR="00015871" w:rsidRPr="00003C8E" w:rsidRDefault="00015871" w:rsidP="00A61A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34" w:type="dxa"/>
          </w:tcPr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216BC">
              <w:rPr>
                <w:b/>
                <w:i/>
                <w:sz w:val="26"/>
                <w:szCs w:val="26"/>
              </w:rPr>
              <w:t>ООО «Амур-ЭП»</w:t>
            </w:r>
            <w:r w:rsidRPr="008216BC">
              <w:rPr>
                <w:sz w:val="26"/>
                <w:szCs w:val="26"/>
              </w:rPr>
              <w:br/>
              <w:t xml:space="preserve">ИНН/КПП 2724046821/272401001 </w:t>
            </w:r>
            <w:r w:rsidRPr="008216BC">
              <w:rPr>
                <w:sz w:val="26"/>
                <w:szCs w:val="26"/>
              </w:rPr>
              <w:br/>
              <w:t>ОГРН 1022701285914</w:t>
            </w:r>
          </w:p>
        </w:tc>
        <w:tc>
          <w:tcPr>
            <w:tcW w:w="5670" w:type="dxa"/>
          </w:tcPr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16BC">
              <w:rPr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16BC">
              <w:rPr>
                <w:sz w:val="26"/>
                <w:szCs w:val="26"/>
              </w:rPr>
              <w:t>2 000 000.00 руб. без учета НДС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16BC">
              <w:rPr>
                <w:sz w:val="26"/>
                <w:szCs w:val="26"/>
              </w:rPr>
              <w:t>2 360 000.00 руб. с учетом НДС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16BC">
              <w:rPr>
                <w:i/>
                <w:sz w:val="26"/>
                <w:szCs w:val="26"/>
              </w:rPr>
              <w:t xml:space="preserve">Суммарная стоимость единичных расценок </w:t>
            </w:r>
            <w:r w:rsidRPr="008216BC">
              <w:rPr>
                <w:i/>
                <w:sz w:val="26"/>
                <w:szCs w:val="26"/>
              </w:rPr>
              <w:lastRenderedPageBreak/>
              <w:t>выполняемых работ: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16BC">
              <w:rPr>
                <w:b/>
                <w:i/>
                <w:sz w:val="26"/>
                <w:szCs w:val="26"/>
              </w:rPr>
              <w:t>360 000,00 руб. без учета НДС</w:t>
            </w:r>
          </w:p>
          <w:p w:rsidR="00015871" w:rsidRPr="008216BC" w:rsidRDefault="00015871" w:rsidP="00A61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16BC">
              <w:rPr>
                <w:i/>
                <w:sz w:val="26"/>
                <w:szCs w:val="26"/>
              </w:rPr>
              <w:t>359 223,48 руб. с учетом НДС</w:t>
            </w:r>
          </w:p>
        </w:tc>
      </w:tr>
    </w:tbl>
    <w:p w:rsidR="00E55B20" w:rsidRDefault="00E55B20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015871" w:rsidRPr="00DE77CD" w:rsidRDefault="00015871" w:rsidP="00015871">
      <w:pPr>
        <w:tabs>
          <w:tab w:val="right" w:pos="9360"/>
        </w:tabs>
        <w:spacing w:line="240" w:lineRule="auto"/>
        <w:ind w:firstLine="426"/>
        <w:rPr>
          <w:b/>
          <w:i/>
          <w:sz w:val="26"/>
          <w:szCs w:val="26"/>
        </w:rPr>
      </w:pPr>
      <w:r w:rsidRPr="00DE77CD">
        <w:rPr>
          <w:sz w:val="26"/>
          <w:szCs w:val="26"/>
        </w:rPr>
        <w:t>Отклонить заявку Участника</w:t>
      </w:r>
      <w:r w:rsidRPr="00DE77C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"ГЕОТОЧКА 27" </w:t>
      </w:r>
      <w:r w:rsidRPr="00DE77CD">
        <w:rPr>
          <w:b/>
          <w:i/>
          <w:sz w:val="26"/>
          <w:szCs w:val="26"/>
        </w:rPr>
        <w:t xml:space="preserve">ИНН/КПП </w:t>
      </w:r>
      <w:r w:rsidRPr="00DE77CD">
        <w:rPr>
          <w:i/>
          <w:sz w:val="26"/>
          <w:szCs w:val="26"/>
        </w:rPr>
        <w:t>2724185208/272401001 ОГРН 1142724000308</w:t>
      </w:r>
      <w:r>
        <w:rPr>
          <w:b/>
          <w:i/>
          <w:sz w:val="26"/>
          <w:szCs w:val="26"/>
        </w:rPr>
        <w:t xml:space="preserve"> </w:t>
      </w:r>
      <w:r w:rsidRPr="00DE77CD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DE77CD">
        <w:rPr>
          <w:bCs/>
          <w:iCs/>
          <w:sz w:val="26"/>
          <w:szCs w:val="26"/>
        </w:rPr>
        <w:t xml:space="preserve">основании  </w:t>
      </w:r>
      <w:proofErr w:type="spellStart"/>
      <w:r w:rsidRPr="00DE77CD">
        <w:rPr>
          <w:bCs/>
          <w:iCs/>
          <w:sz w:val="26"/>
          <w:szCs w:val="26"/>
        </w:rPr>
        <w:t>пп</w:t>
      </w:r>
      <w:proofErr w:type="spellEnd"/>
      <w:r w:rsidRPr="00DE77CD">
        <w:rPr>
          <w:bCs/>
          <w:iCs/>
          <w:sz w:val="26"/>
          <w:szCs w:val="26"/>
        </w:rPr>
        <w:t xml:space="preserve"> «</w:t>
      </w:r>
      <w:proofErr w:type="spellStart"/>
      <w:r w:rsidRPr="00DE77CD">
        <w:rPr>
          <w:bCs/>
          <w:iCs/>
          <w:sz w:val="26"/>
          <w:szCs w:val="26"/>
        </w:rPr>
        <w:t>а</w:t>
      </w:r>
      <w:proofErr w:type="gramStart"/>
      <w:r w:rsidRPr="00DE77CD">
        <w:rPr>
          <w:bCs/>
          <w:iCs/>
          <w:sz w:val="26"/>
          <w:szCs w:val="26"/>
        </w:rPr>
        <w:t>,б</w:t>
      </w:r>
      <w:proofErr w:type="spellEnd"/>
      <w:proofErr w:type="gramEnd"/>
      <w:r w:rsidRPr="00DE77CD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5871" w:rsidRPr="00DE77CD" w:rsidTr="00A61ACC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71" w:rsidRPr="00DE77CD" w:rsidRDefault="00015871" w:rsidP="00A61AC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77CD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015871" w:rsidRPr="00DE77CD" w:rsidTr="00A61ACC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71" w:rsidRPr="00DE77CD" w:rsidRDefault="00015871" w:rsidP="00A61ACC">
            <w:pPr>
              <w:widowControl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697361">
              <w:rPr>
                <w:sz w:val="26"/>
                <w:szCs w:val="26"/>
              </w:rPr>
              <w:t>Участник имеет</w:t>
            </w:r>
            <w:r>
              <w:rPr>
                <w:sz w:val="26"/>
                <w:szCs w:val="26"/>
              </w:rPr>
              <w:t xml:space="preserve"> кризисное финансовое положение, </w:t>
            </w:r>
            <w:r w:rsidRPr="00697361">
              <w:rPr>
                <w:sz w:val="26"/>
                <w:szCs w:val="26"/>
              </w:rPr>
              <w:t>что не соответствует требованиям п.2.5.1.1 «б» Документации о закупке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E55B20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015871" w:rsidRPr="00DE77CD" w:rsidRDefault="00015871" w:rsidP="00015871">
      <w:pPr>
        <w:tabs>
          <w:tab w:val="right" w:pos="9360"/>
        </w:tabs>
        <w:spacing w:line="240" w:lineRule="auto"/>
        <w:ind w:firstLine="426"/>
        <w:rPr>
          <w:b/>
          <w:i/>
          <w:sz w:val="26"/>
          <w:szCs w:val="26"/>
        </w:rPr>
      </w:pPr>
      <w:r w:rsidRPr="00DE77CD">
        <w:rPr>
          <w:sz w:val="26"/>
          <w:szCs w:val="26"/>
        </w:rPr>
        <w:t>Отклонить заявку Участника</w:t>
      </w:r>
      <w:r w:rsidRPr="00DE77CD">
        <w:rPr>
          <w:b/>
          <w:i/>
          <w:sz w:val="26"/>
          <w:szCs w:val="26"/>
        </w:rPr>
        <w:t xml:space="preserve"> </w:t>
      </w:r>
      <w:r w:rsidRPr="0070379C">
        <w:rPr>
          <w:b/>
          <w:i/>
          <w:sz w:val="24"/>
          <w:szCs w:val="24"/>
        </w:rPr>
        <w:t>ООО «Амур-ЭП»</w:t>
      </w:r>
      <w:r>
        <w:rPr>
          <w:sz w:val="24"/>
          <w:szCs w:val="24"/>
        </w:rPr>
        <w:t xml:space="preserve"> </w:t>
      </w:r>
      <w:r w:rsidRPr="0070379C">
        <w:rPr>
          <w:sz w:val="24"/>
          <w:szCs w:val="24"/>
        </w:rPr>
        <w:t xml:space="preserve">ИНН/КПП 2724046821/272401001 </w:t>
      </w:r>
      <w:r w:rsidRPr="0070379C">
        <w:rPr>
          <w:sz w:val="24"/>
          <w:szCs w:val="24"/>
        </w:rPr>
        <w:br/>
        <w:t>ОГРН 1022701285914</w:t>
      </w:r>
      <w:r>
        <w:rPr>
          <w:sz w:val="24"/>
          <w:szCs w:val="24"/>
        </w:rPr>
        <w:t xml:space="preserve"> </w:t>
      </w:r>
      <w:r w:rsidRPr="00DE77CD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DE77CD">
        <w:rPr>
          <w:bCs/>
          <w:iCs/>
          <w:sz w:val="26"/>
          <w:szCs w:val="26"/>
        </w:rPr>
        <w:t xml:space="preserve">основании  </w:t>
      </w:r>
      <w:proofErr w:type="spellStart"/>
      <w:r>
        <w:rPr>
          <w:bCs/>
          <w:iCs/>
          <w:sz w:val="26"/>
          <w:szCs w:val="26"/>
        </w:rPr>
        <w:t>пп</w:t>
      </w:r>
      <w:proofErr w:type="spellEnd"/>
      <w:r>
        <w:rPr>
          <w:bCs/>
          <w:iCs/>
          <w:sz w:val="26"/>
          <w:szCs w:val="26"/>
        </w:rPr>
        <w:t xml:space="preserve"> «</w:t>
      </w:r>
      <w:proofErr w:type="spellStart"/>
      <w:r>
        <w:rPr>
          <w:bCs/>
          <w:iCs/>
          <w:sz w:val="26"/>
          <w:szCs w:val="26"/>
        </w:rPr>
        <w:t>а</w:t>
      </w:r>
      <w:proofErr w:type="gramStart"/>
      <w:r>
        <w:rPr>
          <w:bCs/>
          <w:iCs/>
          <w:sz w:val="26"/>
          <w:szCs w:val="26"/>
        </w:rPr>
        <w:t>,в</w:t>
      </w:r>
      <w:proofErr w:type="spellEnd"/>
      <w:proofErr w:type="gramEnd"/>
      <w:r w:rsidRPr="00DE77CD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5871" w:rsidRPr="00DE77CD" w:rsidTr="00A61ACC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71" w:rsidRPr="00DE77CD" w:rsidRDefault="00015871" w:rsidP="00A61AC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77CD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015871" w:rsidRPr="00DE77CD" w:rsidTr="00A61ACC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71" w:rsidRPr="00DE77CD" w:rsidRDefault="00015871" w:rsidP="00A61ACC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9A3490">
              <w:rPr>
                <w:sz w:val="26"/>
                <w:szCs w:val="26"/>
              </w:rPr>
              <w:t>В составе заявки отсутствуют документы, подтверждающие наличие в штате двух кадастровых инженеров, копии действующих документов, подтверждающих их членство в СРО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F6110D">
              <w:rPr>
                <w:sz w:val="26"/>
                <w:szCs w:val="26"/>
              </w:rPr>
              <w:t>согласно Федеральном</w:t>
            </w:r>
            <w:r>
              <w:rPr>
                <w:sz w:val="26"/>
                <w:szCs w:val="26"/>
              </w:rPr>
              <w:t xml:space="preserve">у закону от 24.07.2007 № 221-ФЗ, </w:t>
            </w:r>
            <w:r w:rsidRPr="00697361">
              <w:rPr>
                <w:sz w:val="26"/>
                <w:szCs w:val="26"/>
              </w:rPr>
              <w:t>что не соответствует требованиям п.</w:t>
            </w:r>
            <w:r>
              <w:rPr>
                <w:sz w:val="26"/>
                <w:szCs w:val="26"/>
              </w:rPr>
              <w:t>6.1</w:t>
            </w:r>
            <w:r w:rsidRPr="006973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Технического задания.</w:t>
            </w:r>
          </w:p>
        </w:tc>
      </w:tr>
      <w:tr w:rsidR="00015871" w:rsidRPr="00DE77CD" w:rsidTr="00A61ACC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71" w:rsidRPr="009A3490" w:rsidRDefault="00015871" w:rsidP="00A61ACC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1176BE">
              <w:rPr>
                <w:sz w:val="26"/>
                <w:szCs w:val="26"/>
              </w:rPr>
              <w:t xml:space="preserve">В составе заявки </w:t>
            </w:r>
            <w:r>
              <w:rPr>
                <w:sz w:val="26"/>
                <w:szCs w:val="26"/>
              </w:rPr>
              <w:t xml:space="preserve">Участником представлено письмо о намерениях КГБУ «ХАБАРОВСКИЙ КРАЕВОЙ ЦЕНТР ГОСУДАРСТВЕННОЙ КАДАСТРОВОЙ ОЦЕНКИ И УЧЕТА НЕДВИЖИМОСТИ» выступит в роли субподрядчика в выполнении кадастровых и изыскательских работ, по закупке 2033. </w:t>
            </w:r>
            <w:r w:rsidRPr="00761422">
              <w:rPr>
                <w:sz w:val="26"/>
                <w:szCs w:val="26"/>
              </w:rPr>
              <w:t>В данном письме указан неверный номер закупки. При этом участник не представил План распределения объемов выполнения работ между генеральным подрядчиком и субподрядчиками, согласно п. 2.5.3.7 «в» и 5.15 Документации о закупке.</w:t>
            </w:r>
          </w:p>
        </w:tc>
      </w:tr>
    </w:tbl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015871" w:rsidRPr="008259FE" w:rsidRDefault="00015871" w:rsidP="00015871">
      <w:pPr>
        <w:tabs>
          <w:tab w:val="left" w:pos="0"/>
          <w:tab w:val="left" w:pos="142"/>
          <w:tab w:val="left" w:pos="284"/>
        </w:tabs>
        <w:snapToGrid w:val="0"/>
        <w:spacing w:line="240" w:lineRule="auto"/>
        <w:contextualSpacing/>
        <w:rPr>
          <w:sz w:val="26"/>
          <w:szCs w:val="26"/>
        </w:rPr>
      </w:pPr>
      <w:r w:rsidRPr="008259FE">
        <w:rPr>
          <w:sz w:val="26"/>
          <w:szCs w:val="26"/>
        </w:rPr>
        <w:t>Признать запрос предложений несостоявшимся</w:t>
      </w:r>
      <w:r>
        <w:rPr>
          <w:sz w:val="26"/>
          <w:szCs w:val="26"/>
        </w:rPr>
        <w:t>, согласно п. 7.7.11.2 Положения о закупке продукции для нужд АО «ДРСК», т.к. поступило менее двух заявок,</w:t>
      </w:r>
      <w:r w:rsidRPr="008216BC">
        <w:t xml:space="preserve"> </w:t>
      </w:r>
      <w:r w:rsidRPr="008216BC">
        <w:rPr>
          <w:sz w:val="26"/>
          <w:szCs w:val="26"/>
        </w:rPr>
        <w:t>соответствующих требованиям Документации о закупке.</w:t>
      </w: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46" w:rsidRDefault="00560546" w:rsidP="00355095">
      <w:pPr>
        <w:spacing w:line="240" w:lineRule="auto"/>
      </w:pPr>
      <w:r>
        <w:separator/>
      </w:r>
    </w:p>
  </w:endnote>
  <w:endnote w:type="continuationSeparator" w:id="0">
    <w:p w:rsidR="00560546" w:rsidRDefault="005605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61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61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46" w:rsidRDefault="00560546" w:rsidP="00355095">
      <w:pPr>
        <w:spacing w:line="240" w:lineRule="auto"/>
      </w:pPr>
      <w:r>
        <w:separator/>
      </w:r>
    </w:p>
  </w:footnote>
  <w:footnote w:type="continuationSeparator" w:id="0">
    <w:p w:rsidR="00560546" w:rsidRDefault="005605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713F32">
      <w:rPr>
        <w:i/>
        <w:sz w:val="20"/>
      </w:rPr>
      <w:t>1</w:t>
    </w:r>
    <w:r w:rsidR="0001587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71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B7BC6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0546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3F32"/>
    <w:rsid w:val="00714540"/>
    <w:rsid w:val="0071472B"/>
    <w:rsid w:val="0072114D"/>
    <w:rsid w:val="007214CF"/>
    <w:rsid w:val="00732C5E"/>
    <w:rsid w:val="0073584C"/>
    <w:rsid w:val="00737CB3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30EE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63A7"/>
    <w:rsid w:val="00807ED5"/>
    <w:rsid w:val="0083777C"/>
    <w:rsid w:val="008401E4"/>
    <w:rsid w:val="00844E99"/>
    <w:rsid w:val="0084617C"/>
    <w:rsid w:val="0085177C"/>
    <w:rsid w:val="00861C62"/>
    <w:rsid w:val="008759B3"/>
    <w:rsid w:val="0088478A"/>
    <w:rsid w:val="00886219"/>
    <w:rsid w:val="0088746E"/>
    <w:rsid w:val="008964A0"/>
    <w:rsid w:val="008A5961"/>
    <w:rsid w:val="008B063D"/>
    <w:rsid w:val="008B1382"/>
    <w:rsid w:val="008B4E73"/>
    <w:rsid w:val="008B60C4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12E3"/>
    <w:rsid w:val="00933F91"/>
    <w:rsid w:val="009356C2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B6DB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CE7A9E"/>
    <w:rsid w:val="00D021FB"/>
    <w:rsid w:val="00D0598C"/>
    <w:rsid w:val="00D05F7D"/>
    <w:rsid w:val="00D1232E"/>
    <w:rsid w:val="00D2610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94B5A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55B20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2691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BA65-A7D1-43A2-979D-D0202729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113</cp:revision>
  <cp:lastPrinted>2018-03-27T05:00:00Z</cp:lastPrinted>
  <dcterms:created xsi:type="dcterms:W3CDTF">2015-01-16T07:03:00Z</dcterms:created>
  <dcterms:modified xsi:type="dcterms:W3CDTF">2018-03-29T03:58:00Z</dcterms:modified>
</cp:coreProperties>
</file>