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1C37E1">
        <w:rPr>
          <w:rFonts w:ascii="Times New Roman" w:hAnsi="Times New Roman" w:cs="Times New Roman"/>
          <w:b/>
          <w:bCs/>
          <w:sz w:val="24"/>
          <w:szCs w:val="24"/>
        </w:rPr>
        <w:t>31705558804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C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C3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1C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  <w:r w:rsidR="001C3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proofErr w:type="gramStart"/>
      <w:r w:rsidR="0031031E" w:rsidRPr="001C37E1">
        <w:rPr>
          <w:i/>
          <w:sz w:val="25"/>
          <w:szCs w:val="25"/>
        </w:rPr>
        <w:t>«</w:t>
      </w:r>
      <w:r w:rsidR="001C37E1" w:rsidRPr="001C37E1">
        <w:rPr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1C37E1" w:rsidRPr="001C37E1">
        <w:rPr>
          <w:i/>
          <w:sz w:val="24"/>
          <w:szCs w:val="24"/>
        </w:rPr>
        <w:t>кВ</w:t>
      </w:r>
      <w:proofErr w:type="spellEnd"/>
      <w:r w:rsidR="001C37E1" w:rsidRPr="001C37E1">
        <w:rPr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(с. Новомихайловка, с. </w:t>
      </w:r>
      <w:proofErr w:type="spellStart"/>
      <w:r w:rsidR="001C37E1" w:rsidRPr="001C37E1">
        <w:rPr>
          <w:i/>
          <w:sz w:val="24"/>
          <w:szCs w:val="24"/>
        </w:rPr>
        <w:t>Новогордеевка</w:t>
      </w:r>
      <w:proofErr w:type="spellEnd"/>
      <w:r w:rsidR="001C37E1" w:rsidRPr="001C37E1">
        <w:rPr>
          <w:i/>
          <w:sz w:val="24"/>
          <w:szCs w:val="24"/>
        </w:rPr>
        <w:t>, с. Муравейка, с. Чугуевка</w:t>
      </w:r>
      <w:r w:rsidR="001C37E1">
        <w:rPr>
          <w:i/>
          <w:sz w:val="24"/>
          <w:szCs w:val="24"/>
        </w:rPr>
        <w:t xml:space="preserve">, с. </w:t>
      </w:r>
      <w:proofErr w:type="spellStart"/>
      <w:r w:rsidR="001C37E1">
        <w:rPr>
          <w:i/>
          <w:sz w:val="24"/>
          <w:szCs w:val="24"/>
        </w:rPr>
        <w:t>Синегорье</w:t>
      </w:r>
      <w:proofErr w:type="spellEnd"/>
      <w:r w:rsidR="001C37E1">
        <w:rPr>
          <w:i/>
          <w:sz w:val="24"/>
          <w:szCs w:val="24"/>
        </w:rPr>
        <w:t>, массив Садовая)</w:t>
      </w:r>
      <w:r w:rsidR="0031031E" w:rsidRPr="001C37E1">
        <w:rPr>
          <w:i/>
          <w:sz w:val="25"/>
          <w:szCs w:val="25"/>
        </w:rPr>
        <w:t>»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1C37E1">
        <w:rPr>
          <w:rFonts w:eastAsia="Times New Roman"/>
          <w:bCs w:val="0"/>
          <w:color w:val="000000" w:themeColor="text1"/>
          <w:sz w:val="25"/>
          <w:szCs w:val="25"/>
        </w:rPr>
        <w:t>18</w:t>
      </w:r>
      <w:proofErr w:type="gramEnd"/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37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1C37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1607"/>
        <w:gridCol w:w="1369"/>
        <w:gridCol w:w="1285"/>
      </w:tblGrid>
      <w:tr w:rsidR="001C37E1" w:rsidRPr="001C37E1" w:rsidTr="001C37E1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1C37E1" w:rsidRPr="001C37E1" w:rsidTr="001C37E1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C37E1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1C37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C37E1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2702011141/272501001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1022701403944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730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C37E1" w:rsidRPr="001C37E1" w:rsidTr="001C37E1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C37E1">
              <w:rPr>
                <w:rFonts w:ascii="Times New Roman" w:hAnsi="Times New Roman" w:cs="Times New Roman"/>
                <w:sz w:val="24"/>
                <w:szCs w:val="24"/>
              </w:rPr>
              <w:t xml:space="preserve">119261, Российская Федерация, г. Москва, Москва г, Ленинский Проспект </w:t>
            </w:r>
            <w:proofErr w:type="spellStart"/>
            <w:proofErr w:type="gramStart"/>
            <w:r w:rsidRPr="001C37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C37E1">
              <w:rPr>
                <w:rFonts w:ascii="Times New Roman" w:hAnsi="Times New Roman" w:cs="Times New Roman"/>
                <w:sz w:val="24"/>
                <w:szCs w:val="24"/>
              </w:rPr>
              <w:t>, 82 офис (квартира) 2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7736584929/773601001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5087746234703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545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424.08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600.41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E1" w:rsidRPr="001C37E1" w:rsidRDefault="001C37E1" w:rsidP="001C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C3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E4C18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18" w:rsidRDefault="003E4C18" w:rsidP="000F4708">
      <w:pPr>
        <w:spacing w:after="0" w:line="240" w:lineRule="auto"/>
      </w:pPr>
      <w:r>
        <w:separator/>
      </w:r>
    </w:p>
  </w:endnote>
  <w:endnote w:type="continuationSeparator" w:id="0">
    <w:p w:rsidR="003E4C18" w:rsidRDefault="003E4C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7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18" w:rsidRDefault="003E4C18" w:rsidP="000F4708">
      <w:pPr>
        <w:spacing w:after="0" w:line="240" w:lineRule="auto"/>
      </w:pPr>
      <w:r>
        <w:separator/>
      </w:r>
    </w:p>
  </w:footnote>
  <w:footnote w:type="continuationSeparator" w:id="0">
    <w:p w:rsidR="003E4C18" w:rsidRDefault="003E4C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37E1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E4C1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9C6F-1EA8-44AD-846B-4AF22368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2017-04-14T03:59:00Z</cp:lastPrinted>
  <dcterms:created xsi:type="dcterms:W3CDTF">2014-09-17T23:56:00Z</dcterms:created>
  <dcterms:modified xsi:type="dcterms:W3CDTF">2017-10-11T05:43:00Z</dcterms:modified>
</cp:coreProperties>
</file>