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Pr="009475E9">
        <w:t xml:space="preserve">по </w:t>
      </w:r>
      <w:r w:rsidR="00C75F96" w:rsidRPr="00CB3B84">
        <w:rPr>
          <w:b/>
          <w:i/>
          <w:sz w:val="26"/>
          <w:szCs w:val="26"/>
        </w:rPr>
        <w:t>«</w:t>
      </w:r>
      <w:r w:rsidR="00587AB9" w:rsidRPr="00FB302A">
        <w:rPr>
          <w:b/>
          <w:i/>
          <w:sz w:val="26"/>
          <w:szCs w:val="26"/>
        </w:rPr>
        <w:t>Замене измерительных трансформаторов тока и напряжения</w:t>
      </w:r>
      <w:r w:rsidR="00C75F96" w:rsidRPr="00CB3B84">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w:t>
      </w:r>
      <w:r w:rsidR="00587AB9">
        <w:t>11</w:t>
      </w:r>
      <w:r w:rsidR="00C75F96">
        <w:t>.2017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FB7800">
        <w:t>11</w:t>
      </w:r>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 xml:space="preserve">6.2. Заказчик производит оплату выполненных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144BF5" w:rsidRPr="00C75F96" w:rsidRDefault="007C479A" w:rsidP="00C75F96">
      <w:pPr>
        <w:widowControl w:val="0"/>
        <w:tabs>
          <w:tab w:val="left" w:pos="0"/>
          <w:tab w:val="left" w:pos="1134"/>
          <w:tab w:val="left" w:pos="1276"/>
        </w:tabs>
        <w:autoSpaceDE w:val="0"/>
        <w:autoSpaceDN w:val="0"/>
        <w:adjustRightInd w:val="0"/>
        <w:ind w:firstLine="709"/>
        <w:jc w:val="both"/>
        <w:rPr>
          <w:color w:val="000000"/>
        </w:rPr>
      </w:pPr>
      <w:r w:rsidRPr="009475E9">
        <w:rPr>
          <w:color w:val="000000"/>
        </w:rPr>
        <w:t>6.</w:t>
      </w:r>
      <w:r w:rsidR="00287655">
        <w:rPr>
          <w:color w:val="000000"/>
        </w:rPr>
        <w:t>3</w:t>
      </w:r>
      <w:r w:rsidRPr="009475E9">
        <w:rPr>
          <w:color w:val="000000"/>
        </w:rPr>
        <w:t>. Заказчик</w:t>
      </w:r>
      <w:r w:rsidRPr="009475E9">
        <w:rPr>
          <w:b/>
          <w:color w:val="000000"/>
        </w:rPr>
        <w:t xml:space="preserve"> </w:t>
      </w:r>
      <w:r w:rsidRPr="009475E9">
        <w:rPr>
          <w:color w:val="000000"/>
        </w:rPr>
        <w:t xml:space="preserve">производит оплату за каждый выполненный этап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287655">
        <w:t>4</w:t>
      </w:r>
      <w:r w:rsidRPr="009475E9">
        <w:t>.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287655" w:rsidRDefault="00880075" w:rsidP="00287655">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C42930" w:rsidRPr="009475E9" w:rsidRDefault="00C42930" w:rsidP="00F83DB2">
      <w:pPr>
        <w:widowControl w:val="0"/>
        <w:shd w:val="clear" w:color="auto" w:fill="FFFFFF"/>
        <w:tabs>
          <w:tab w:val="left" w:pos="953"/>
        </w:tabs>
        <w:autoSpaceDE w:val="0"/>
        <w:autoSpaceDN w:val="0"/>
        <w:adjustRightInd w:val="0"/>
        <w:rPr>
          <w:b/>
          <w:color w:val="000000"/>
        </w:rPr>
      </w:pPr>
    </w:p>
    <w:p w:rsidR="00C42930" w:rsidRPr="009475E9" w:rsidRDefault="00C42930" w:rsidP="00287655">
      <w:pPr>
        <w:pStyle w:val="af3"/>
        <w:widowControl w:val="0"/>
        <w:numPr>
          <w:ilvl w:val="0"/>
          <w:numId w:val="35"/>
        </w:numPr>
        <w:shd w:val="clear" w:color="auto" w:fill="FFFFFF"/>
        <w:tabs>
          <w:tab w:val="left" w:pos="953"/>
        </w:tabs>
        <w:autoSpaceDE w:val="0"/>
        <w:autoSpaceDN w:val="0"/>
        <w:adjustRightInd w:val="0"/>
        <w:jc w:val="center"/>
        <w:rPr>
          <w:b/>
          <w:color w:val="000000"/>
        </w:rPr>
      </w:pPr>
      <w:r w:rsidRPr="009475E9">
        <w:rPr>
          <w:b/>
          <w:color w:val="000000"/>
        </w:rPr>
        <w:t>ОБЕСПЕЧЕНИЕ ИСПОЛНЕНИЯ ОБЯЗАТЕЛЬСТВ</w:t>
      </w:r>
    </w:p>
    <w:p w:rsidR="00EF63B1" w:rsidRPr="00287655" w:rsidRDefault="00EF63B1" w:rsidP="00287655">
      <w:pPr>
        <w:tabs>
          <w:tab w:val="left" w:pos="426"/>
          <w:tab w:val="left" w:pos="709"/>
          <w:tab w:val="left" w:pos="1134"/>
        </w:tabs>
        <w:jc w:val="both"/>
        <w:rPr>
          <w:b/>
          <w:i/>
          <w:color w:val="FF0000"/>
        </w:rPr>
      </w:pP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5E0E3E" w:rsidRPr="009475E9">
        <w:rPr>
          <w:color w:val="000000" w:themeColor="text1"/>
        </w:rPr>
        <w:t xml:space="preserve">8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w:t>
      </w:r>
      <w:proofErr w:type="gramStart"/>
      <w:r w:rsidRPr="009475E9">
        <w:rPr>
          <w:color w:val="000000" w:themeColor="text1"/>
        </w:rPr>
        <w:t xml:space="preserve"> ,</w:t>
      </w:r>
      <w:proofErr w:type="gramEnd"/>
      <w:r w:rsidRPr="009475E9">
        <w:rPr>
          <w:color w:val="000000" w:themeColor="text1"/>
        </w:rPr>
        <w:t xml:space="preserve"> действующий на дату предоставления новой банковской гарантии, в течение 30 (тридцати) календарных дней с даты отзыва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цены соответствующ</w:t>
      </w:r>
      <w:r w:rsidR="00220635" w:rsidRPr="009475E9">
        <w:rPr>
          <w:color w:val="000000" w:themeColor="text1"/>
        </w:rPr>
        <w:t xml:space="preserve">его </w:t>
      </w:r>
      <w:r w:rsidR="00FF2EAF" w:rsidRPr="009475E9">
        <w:rPr>
          <w:color w:val="000000" w:themeColor="text1"/>
        </w:rPr>
        <w:t>этапа выполнения работ</w:t>
      </w:r>
      <w:r w:rsidR="00D44115" w:rsidRPr="009475E9">
        <w:rPr>
          <w:color w:val="000000" w:themeColor="text1"/>
        </w:rPr>
        <w:t xml:space="preserve"> / </w:t>
      </w:r>
      <w:r w:rsidR="00D11E04" w:rsidRPr="009475E9">
        <w:rPr>
          <w:i/>
          <w:color w:val="000000" w:themeColor="text1"/>
        </w:rPr>
        <w:t>от стоимости ежемесячного объёма работ, выполненного Подрядчиком и принятого Заказчиком по Договору,</w:t>
      </w:r>
      <w:r w:rsidR="00D11E04" w:rsidRPr="009475E9">
        <w:rPr>
          <w:color w:val="000000" w:themeColor="text1"/>
        </w:rPr>
        <w:t xml:space="preserve">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должна быть</w:t>
      </w:r>
      <w:proofErr w:type="gramEnd"/>
      <w:r w:rsidR="00FF2EAF" w:rsidRPr="009475E9">
        <w:rPr>
          <w:color w:val="000000" w:themeColor="text1"/>
        </w:rPr>
        <w:t xml:space="preserve"> отдельно выделена сумма обеспечительного платежа. </w:t>
      </w:r>
    </w:p>
    <w:p w:rsidR="00D30225" w:rsidRPr="009475E9"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730898" w:rsidRPr="00287655" w:rsidRDefault="00730898" w:rsidP="00287655">
      <w:pPr>
        <w:tabs>
          <w:tab w:val="left" w:pos="0"/>
          <w:tab w:val="left" w:pos="567"/>
          <w:tab w:val="left" w:pos="709"/>
          <w:tab w:val="left" w:pos="1134"/>
        </w:tabs>
        <w:jc w:val="both"/>
        <w:rPr>
          <w:b/>
          <w:i/>
          <w:color w:val="FF0000"/>
          <w:u w:val="single"/>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87655" w:rsidRPr="00287655">
        <w:rPr>
          <w:b/>
          <w:bCs/>
          <w:i/>
          <w:iCs/>
        </w:rPr>
        <w:t>60 (шестьдесят) 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lastRenderedPageBreak/>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3.22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w:t>
      </w:r>
      <w:r w:rsidR="000C683B">
        <w:t>ков, предусмотренных пунктом 6.9</w:t>
      </w:r>
      <w:bookmarkStart w:id="0" w:name="_GoBack"/>
      <w:bookmarkEnd w:id="0"/>
      <w:r w:rsidRPr="009475E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475E9" w:rsidRDefault="00A04DCC" w:rsidP="00094BF3">
      <w:pPr>
        <w:pStyle w:val="af3"/>
        <w:numPr>
          <w:ilvl w:val="1"/>
          <w:numId w:val="37"/>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право начислить пени в размере 0,03 (ноль целых и три сотых) процента от цены Договора за каждый день просрочки.</w:t>
      </w:r>
    </w:p>
    <w:p w:rsidR="00942521" w:rsidRPr="009475E9" w:rsidRDefault="00942521" w:rsidP="00F83DB2">
      <w:pPr>
        <w:shd w:val="clear" w:color="auto" w:fill="FFFFFF"/>
        <w:jc w:val="both"/>
      </w:pPr>
    </w:p>
    <w:p w:rsidR="00FF16B2" w:rsidRPr="009475E9" w:rsidRDefault="00880075" w:rsidP="00094BF3">
      <w:pPr>
        <w:pStyle w:val="af3"/>
        <w:numPr>
          <w:ilvl w:val="0"/>
          <w:numId w:val="37"/>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5E0E3E" w:rsidRPr="009475E9">
        <w:t xml:space="preserve">8 </w:t>
      </w:r>
      <w:r w:rsidRPr="009475E9">
        <w:t>«Требования к Банку-Гаранту и условия банковской гарантии».</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EF5941" w:rsidRDefault="00EF5941" w:rsidP="00F83DB2">
      <w:pPr>
        <w:tabs>
          <w:tab w:val="left" w:pos="3712"/>
        </w:tabs>
        <w:jc w:val="right"/>
      </w:pPr>
    </w:p>
    <w:p w:rsidR="00EF5941" w:rsidRDefault="00EF5941"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3F541F" w:rsidRPr="009475E9">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не только реальность совершения хозяйственных операций, но также и деловую </w:t>
      </w:r>
      <w:proofErr w:type="gramStart"/>
      <w:r w:rsidRPr="009475E9">
        <w:t>репутацию</w:t>
      </w:r>
      <w:proofErr w:type="gramEnd"/>
      <w:r w:rsidRPr="009475E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1" w:name="RANGE!A1:E51"/>
            <w:r w:rsidRPr="009475E9">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4E4EC9" w:rsidRPr="009475E9">
        <w:t>8</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«____»__________20___г.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F83DB2" w:rsidRDefault="00AE633E" w:rsidP="00F83DB2"/>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E99" w:rsidRDefault="00BE0E99" w:rsidP="001424FF">
      <w:r>
        <w:separator/>
      </w:r>
    </w:p>
  </w:endnote>
  <w:endnote w:type="continuationSeparator" w:id="0">
    <w:p w:rsidR="00BE0E99" w:rsidRDefault="00BE0E9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E99" w:rsidRDefault="00BE0E99" w:rsidP="001424FF">
      <w:r>
        <w:separator/>
      </w:r>
    </w:p>
  </w:footnote>
  <w:footnote w:type="continuationSeparator" w:id="0">
    <w:p w:rsidR="00BE0E99" w:rsidRDefault="00BE0E99" w:rsidP="001424FF">
      <w:r>
        <w:continuationSeparator/>
      </w:r>
    </w:p>
  </w:footnote>
  <w:footnote w:id="1">
    <w:p w:rsidR="00587AB9" w:rsidRPr="00C00A42" w:rsidRDefault="00587AB9"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587AB9" w:rsidRPr="00644ED5" w:rsidRDefault="00587AB9"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87AB9" w:rsidRPr="00644ED5" w:rsidRDefault="00587AB9"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924E6136"/>
    <w:lvl w:ilvl="0">
      <w:start w:val="6"/>
      <w:numFmt w:val="decimal"/>
      <w:lvlText w:val="%1."/>
      <w:lvlJc w:val="left"/>
      <w:pPr>
        <w:ind w:left="360" w:hanging="360"/>
      </w:pPr>
      <w:rPr>
        <w:rFonts w:hint="default"/>
        <w:b w:val="0"/>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683B"/>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31D2"/>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87AB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4394C"/>
    <w:rsid w:val="00750888"/>
    <w:rsid w:val="00751277"/>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B54"/>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0E99"/>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5941"/>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80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D6ED-2A6B-4C87-8D2B-283D8A17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10880</Words>
  <Characters>62016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2017-03-06T05:56:00Z</cp:lastPrinted>
  <dcterms:created xsi:type="dcterms:W3CDTF">2017-03-21T00:43:00Z</dcterms:created>
  <dcterms:modified xsi:type="dcterms:W3CDTF">2017-03-21T00:43:00Z</dcterms:modified>
</cp:coreProperties>
</file>