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7C6BFB" w:rsidRPr="007C6BFB">
        <w:rPr>
          <w:rFonts w:ascii="Times New Roman" w:hAnsi="Times New Roman" w:cs="Times New Roman"/>
          <w:b/>
          <w:sz w:val="24"/>
          <w:szCs w:val="24"/>
        </w:rPr>
        <w:t xml:space="preserve">с. </w:t>
      </w:r>
      <w:r w:rsidR="00A837C6">
        <w:rPr>
          <w:rFonts w:ascii="Times New Roman" w:hAnsi="Times New Roman" w:cs="Times New Roman"/>
          <w:b/>
          <w:sz w:val="24"/>
          <w:szCs w:val="24"/>
        </w:rPr>
        <w:t>Прохладное</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A837C6" w:rsidRPr="00A837C6" w:rsidRDefault="00A837C6" w:rsidP="00A837C6">
      <w:pPr>
        <w:widowControl w:val="0"/>
        <w:tabs>
          <w:tab w:val="left" w:pos="993"/>
        </w:tabs>
        <w:ind w:firstLine="567"/>
        <w:contextualSpacing/>
        <w:jc w:val="both"/>
        <w:rPr>
          <w:color w:val="0000FF"/>
        </w:rPr>
      </w:pPr>
      <w:r>
        <w:rPr>
          <w:color w:val="0000FF"/>
        </w:rPr>
        <w:t xml:space="preserve">    - </w:t>
      </w:r>
      <w:bookmarkStart w:id="0" w:name="_GoBack"/>
      <w:bookmarkEnd w:id="0"/>
      <w:r w:rsidRPr="00A837C6">
        <w:rPr>
          <w:color w:val="0000FF"/>
        </w:rPr>
        <w:t xml:space="preserve">16-2287 от 24.06.16 (Панарин Д.А., Надеждинский р-н, с. </w:t>
      </w:r>
      <w:proofErr w:type="gramStart"/>
      <w:r w:rsidRPr="00A837C6">
        <w:rPr>
          <w:color w:val="0000FF"/>
        </w:rPr>
        <w:t>Прохладное</w:t>
      </w:r>
      <w:proofErr w:type="gramEnd"/>
      <w:r w:rsidRPr="00A837C6">
        <w:rPr>
          <w:color w:val="0000FF"/>
        </w:rPr>
        <w:t>, Пушкина, д. 10), 15 кВт, 380 В;</w:t>
      </w:r>
    </w:p>
    <w:p w:rsidR="00C22337" w:rsidRPr="005E44FA" w:rsidRDefault="00C22337" w:rsidP="007C6BFB">
      <w:pPr>
        <w:shd w:val="clear" w:color="auto" w:fill="FFFFFF"/>
        <w:tabs>
          <w:tab w:val="left" w:pos="709"/>
          <w:tab w:val="left" w:pos="1276"/>
          <w:tab w:val="left" w:pos="1418"/>
        </w:tabs>
        <w:ind w:left="284" w:firstLine="425"/>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5E44FA">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5E44FA">
        <w:lastRenderedPageBreak/>
        <w:t>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w:t>
      </w:r>
      <w:r w:rsidR="00A461EB" w:rsidRPr="00A70165">
        <w:lastRenderedPageBreak/>
        <w:t xml:space="preserve">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w:t>
      </w:r>
      <w:r w:rsidRPr="00946358">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5E44FA">
        <w:lastRenderedPageBreak/>
        <w:t xml:space="preserve">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lastRenderedPageBreak/>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w:t>
      </w:r>
      <w:r w:rsidRPr="005E44FA">
        <w:lastRenderedPageBreak/>
        <w:t xml:space="preserve">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5E44FA">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5E44FA">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C6BFB"/>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37C6"/>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25B57-256F-4AB3-BEB3-278D538F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10606</Words>
  <Characters>60459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70924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28</cp:revision>
  <cp:lastPrinted>2013-06-24T06:38:00Z</cp:lastPrinted>
  <dcterms:created xsi:type="dcterms:W3CDTF">2016-03-17T05:46:00Z</dcterms:created>
  <dcterms:modified xsi:type="dcterms:W3CDTF">2016-11-25T06:06:00Z</dcterms:modified>
</cp:coreProperties>
</file>