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5C1307">
        <w:rPr>
          <w:bCs/>
          <w:caps/>
          <w:sz w:val="36"/>
          <w:szCs w:val="36"/>
        </w:rPr>
        <w:t>40/УР</w:t>
      </w:r>
      <w:r w:rsidR="005C1307" w:rsidRPr="003A77FC">
        <w:rPr>
          <w:bCs/>
          <w:caps/>
          <w:sz w:val="36"/>
          <w:szCs w:val="36"/>
        </w:rPr>
        <w:t>-Р</w:t>
      </w:r>
    </w:p>
    <w:p w:rsidR="005C1307" w:rsidRPr="00BF242C" w:rsidRDefault="005C1307" w:rsidP="005C1307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</w:t>
      </w:r>
      <w:r>
        <w:rPr>
          <w:bCs/>
          <w:sz w:val="26"/>
          <w:szCs w:val="26"/>
        </w:rPr>
        <w:t xml:space="preserve">запроса предложений </w:t>
      </w:r>
      <w:r w:rsidRPr="00050698">
        <w:rPr>
          <w:bCs/>
          <w:sz w:val="26"/>
          <w:szCs w:val="26"/>
        </w:rPr>
        <w:t xml:space="preserve">на право заключения </w:t>
      </w:r>
      <w:r w:rsidRPr="00BF242C">
        <w:rPr>
          <w:bCs/>
          <w:sz w:val="26"/>
          <w:szCs w:val="26"/>
        </w:rPr>
        <w:t xml:space="preserve">договора </w:t>
      </w:r>
      <w:r w:rsidRPr="00BF242C">
        <w:rPr>
          <w:sz w:val="26"/>
          <w:szCs w:val="26"/>
        </w:rPr>
        <w:t>на выполнение работ</w:t>
      </w:r>
      <w:r w:rsidRPr="00BF242C">
        <w:rPr>
          <w:b/>
          <w:bCs/>
          <w:i/>
          <w:sz w:val="26"/>
          <w:szCs w:val="26"/>
        </w:rPr>
        <w:t xml:space="preserve"> </w:t>
      </w:r>
      <w:r w:rsidRPr="00BF242C">
        <w:rPr>
          <w:b/>
          <w:i/>
          <w:sz w:val="26"/>
          <w:szCs w:val="26"/>
        </w:rPr>
        <w:t xml:space="preserve">«Чистка просеки </w:t>
      </w:r>
      <w:proofErr w:type="gramStart"/>
      <w:r w:rsidRPr="00BF242C">
        <w:rPr>
          <w:b/>
          <w:i/>
          <w:sz w:val="26"/>
          <w:szCs w:val="26"/>
        </w:rPr>
        <w:t>ВЛ</w:t>
      </w:r>
      <w:proofErr w:type="gramEnd"/>
      <w:r w:rsidRPr="00BF242C">
        <w:rPr>
          <w:b/>
          <w:i/>
          <w:sz w:val="26"/>
          <w:szCs w:val="26"/>
        </w:rPr>
        <w:t xml:space="preserve"> 35-110 </w:t>
      </w:r>
      <w:proofErr w:type="spellStart"/>
      <w:r w:rsidRPr="00BF242C">
        <w:rPr>
          <w:b/>
          <w:i/>
          <w:sz w:val="26"/>
          <w:szCs w:val="26"/>
        </w:rPr>
        <w:t>кВ</w:t>
      </w:r>
      <w:proofErr w:type="spellEnd"/>
      <w:r w:rsidRPr="00BF242C">
        <w:rPr>
          <w:b/>
          <w:i/>
          <w:sz w:val="26"/>
          <w:szCs w:val="26"/>
        </w:rPr>
        <w:t xml:space="preserve"> СП ЦЭС» </w:t>
      </w:r>
      <w:r w:rsidRPr="00BF242C">
        <w:rPr>
          <w:sz w:val="26"/>
          <w:szCs w:val="26"/>
        </w:rPr>
        <w:t>для нужд филиала АО «ДРСК» «Хабаровские электрические сети»</w:t>
      </w:r>
      <w:r w:rsidRPr="00BF242C">
        <w:rPr>
          <w:bCs/>
          <w:sz w:val="26"/>
          <w:szCs w:val="26"/>
        </w:rPr>
        <w:t xml:space="preserve"> (закупка № </w:t>
      </w:r>
      <w:r>
        <w:rPr>
          <w:bCs/>
          <w:sz w:val="26"/>
          <w:szCs w:val="26"/>
        </w:rPr>
        <w:t>66</w:t>
      </w:r>
      <w:r w:rsidRPr="00BF242C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1.1</w:t>
      </w:r>
      <w:r w:rsidRPr="00BF242C">
        <w:rPr>
          <w:bCs/>
          <w:sz w:val="26"/>
          <w:szCs w:val="26"/>
        </w:rPr>
        <w:t xml:space="preserve">. </w:t>
      </w:r>
      <w:proofErr w:type="gramStart"/>
      <w:r w:rsidRPr="00BF242C">
        <w:rPr>
          <w:bCs/>
          <w:sz w:val="26"/>
          <w:szCs w:val="26"/>
        </w:rPr>
        <w:t>ГКПЗ 2017)</w:t>
      </w:r>
      <w:proofErr w:type="gramEnd"/>
    </w:p>
    <w:p w:rsidR="00104699" w:rsidRDefault="00104699" w:rsidP="00104699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C27673" w:rsidP="005C1307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«10</w:t>
            </w:r>
            <w:r w:rsidR="005C1307">
              <w:rPr>
                <w:rFonts w:ascii="Times New Roman" w:hAnsi="Times New Roman"/>
                <w:sz w:val="24"/>
                <w:szCs w:val="24"/>
              </w:rPr>
              <w:t>» янва</w:t>
            </w:r>
            <w:r>
              <w:rPr>
                <w:rFonts w:ascii="Times New Roman" w:hAnsi="Times New Roman"/>
                <w:sz w:val="24"/>
                <w:szCs w:val="24"/>
              </w:rPr>
              <w:t>ря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C1307" w:rsidRDefault="005C1307" w:rsidP="005C130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5C1307" w:rsidRPr="00F943FC" w:rsidRDefault="005C1307" w:rsidP="005C1307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5C1307" w:rsidRDefault="005C1307" w:rsidP="005C1307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94"/>
      </w:tblGrid>
      <w:tr w:rsidR="005C1307" w:rsidRPr="00FD594F" w:rsidTr="00A23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FD594F">
              <w:rPr>
                <w:sz w:val="24"/>
                <w:szCs w:val="24"/>
              </w:rPr>
              <w:t>запросе</w:t>
            </w:r>
            <w:proofErr w:type="gramEnd"/>
            <w:r w:rsidRPr="00FD594F">
              <w:rPr>
                <w:sz w:val="24"/>
                <w:szCs w:val="24"/>
              </w:rPr>
              <w:t xml:space="preserve"> предложений</w:t>
            </w:r>
          </w:p>
        </w:tc>
      </w:tr>
      <w:tr w:rsidR="005C1307" w:rsidRPr="00FD594F" w:rsidTr="00A23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D594F">
              <w:rPr>
                <w:sz w:val="24"/>
                <w:szCs w:val="24"/>
              </w:rPr>
              <w:t>ООО "ТЕХНОДИЗАЙН СЕРВИС" (680013, Россия, Хабаровский край, г. Хабаровск, ул. Ленинградская, д. 37, оф. 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Заявка: подана 16.12.2016 в 13:41</w:t>
            </w:r>
            <w:r w:rsidRPr="00FD594F">
              <w:rPr>
                <w:sz w:val="24"/>
                <w:szCs w:val="24"/>
              </w:rPr>
              <w:br/>
              <w:t xml:space="preserve">Цена: </w:t>
            </w:r>
            <w:r w:rsidRPr="00FD594F">
              <w:rPr>
                <w:b/>
                <w:sz w:val="24"/>
                <w:szCs w:val="24"/>
              </w:rPr>
              <w:t>8 406 790,00 </w:t>
            </w:r>
            <w:r w:rsidRPr="00FD594F">
              <w:rPr>
                <w:sz w:val="24"/>
                <w:szCs w:val="24"/>
              </w:rPr>
              <w:t>руб. (НДС не облагается)</w:t>
            </w:r>
          </w:p>
        </w:tc>
      </w:tr>
      <w:tr w:rsidR="005C1307" w:rsidRPr="00FD594F" w:rsidTr="00A23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ООО "</w:t>
            </w:r>
            <w:proofErr w:type="spellStart"/>
            <w:r w:rsidRPr="00FD594F">
              <w:rPr>
                <w:sz w:val="24"/>
                <w:szCs w:val="24"/>
              </w:rPr>
              <w:t>Актис</w:t>
            </w:r>
            <w:proofErr w:type="spellEnd"/>
            <w:r w:rsidRPr="00FD594F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FD594F">
              <w:rPr>
                <w:sz w:val="24"/>
                <w:szCs w:val="24"/>
              </w:rPr>
              <w:t>Волочаевская</w:t>
            </w:r>
            <w:proofErr w:type="spellEnd"/>
            <w:r w:rsidRPr="00FD594F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FD594F">
              <w:rPr>
                <w:sz w:val="24"/>
                <w:szCs w:val="24"/>
              </w:rPr>
              <w:t>Щ</w:t>
            </w:r>
            <w:proofErr w:type="gramEnd"/>
            <w:r w:rsidRPr="00FD594F">
              <w:rPr>
                <w:sz w:val="24"/>
                <w:szCs w:val="24"/>
              </w:rPr>
              <w:t>, оф.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Заявка: подана 19.12.2016 в 03:23</w:t>
            </w:r>
            <w:r w:rsidRPr="00FD594F">
              <w:rPr>
                <w:sz w:val="24"/>
                <w:szCs w:val="24"/>
              </w:rPr>
              <w:br/>
              <w:t xml:space="preserve">Цена: 10 620 000,00 руб. (цена без НДС: </w:t>
            </w:r>
            <w:r w:rsidRPr="00FD594F">
              <w:rPr>
                <w:b/>
                <w:sz w:val="24"/>
                <w:szCs w:val="24"/>
              </w:rPr>
              <w:t>9 000 000,00</w:t>
            </w:r>
            <w:r w:rsidRPr="00FD594F">
              <w:rPr>
                <w:sz w:val="24"/>
                <w:szCs w:val="24"/>
              </w:rPr>
              <w:t> руб.)</w:t>
            </w:r>
          </w:p>
        </w:tc>
      </w:tr>
      <w:tr w:rsidR="005C1307" w:rsidRPr="00FD594F" w:rsidTr="00A23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Заявка: подана 19.12.2016 в 03:46</w:t>
            </w:r>
            <w:r w:rsidRPr="00FD594F">
              <w:rPr>
                <w:sz w:val="24"/>
                <w:szCs w:val="24"/>
              </w:rPr>
              <w:br/>
              <w:t xml:space="preserve">Цена: 10 899 560,88 руб. (цена без НДС: </w:t>
            </w:r>
            <w:r w:rsidRPr="00FD594F">
              <w:rPr>
                <w:b/>
                <w:sz w:val="24"/>
                <w:szCs w:val="24"/>
              </w:rPr>
              <w:t>9 236 916,00</w:t>
            </w:r>
            <w:r w:rsidRPr="00FD594F">
              <w:rPr>
                <w:sz w:val="24"/>
                <w:szCs w:val="24"/>
              </w:rPr>
              <w:t> руб.)</w:t>
            </w:r>
          </w:p>
        </w:tc>
      </w:tr>
      <w:tr w:rsidR="005C1307" w:rsidRPr="00FD594F" w:rsidTr="00A23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D594F">
              <w:rPr>
                <w:sz w:val="24"/>
                <w:szCs w:val="24"/>
              </w:rPr>
              <w:t>ООО "</w:t>
            </w:r>
            <w:proofErr w:type="spellStart"/>
            <w:r w:rsidRPr="00FD594F">
              <w:rPr>
                <w:sz w:val="24"/>
                <w:szCs w:val="24"/>
              </w:rPr>
              <w:t>СтройАльянс</w:t>
            </w:r>
            <w:proofErr w:type="spellEnd"/>
            <w:r w:rsidRPr="00FD594F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Заявка, подана 19.12.2016 в 01:34</w:t>
            </w:r>
            <w:r w:rsidRPr="00FD594F">
              <w:rPr>
                <w:sz w:val="24"/>
                <w:szCs w:val="24"/>
              </w:rPr>
              <w:br/>
              <w:t xml:space="preserve">Цена: 10 970 862,38 руб. (цена без НДС: </w:t>
            </w:r>
            <w:r w:rsidRPr="00FD594F">
              <w:rPr>
                <w:b/>
                <w:sz w:val="24"/>
                <w:szCs w:val="24"/>
              </w:rPr>
              <w:t>9 297 341,00</w:t>
            </w:r>
            <w:r w:rsidRPr="00FD594F">
              <w:rPr>
                <w:sz w:val="24"/>
                <w:szCs w:val="24"/>
              </w:rPr>
              <w:t> руб.)</w:t>
            </w:r>
          </w:p>
        </w:tc>
      </w:tr>
      <w:tr w:rsidR="005C1307" w:rsidRPr="00FD594F" w:rsidTr="00A233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5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Востокэлектросетьстрой</w:t>
            </w:r>
            <w:proofErr w:type="spellEnd"/>
            <w:r w:rsidRPr="00FD594F">
              <w:rPr>
                <w:sz w:val="24"/>
                <w:szCs w:val="24"/>
              </w:rPr>
              <w:t>" (680042, Россия, Хабаровский край, г. Хабаровск, ул. Тихоокеанская, д. 165)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Заявка, подана 19.12.2016 в 04:09</w:t>
            </w:r>
            <w:r w:rsidRPr="00FD594F">
              <w:rPr>
                <w:sz w:val="24"/>
                <w:szCs w:val="24"/>
              </w:rPr>
              <w:br/>
              <w:t xml:space="preserve">Цена: 11 017 660,00 руб. (цена без НДС: </w:t>
            </w:r>
            <w:r w:rsidRPr="00FD594F">
              <w:rPr>
                <w:b/>
                <w:sz w:val="24"/>
                <w:szCs w:val="24"/>
              </w:rPr>
              <w:t>9 337 000,00</w:t>
            </w:r>
            <w:r w:rsidRPr="00FD594F">
              <w:rPr>
                <w:sz w:val="24"/>
                <w:szCs w:val="24"/>
              </w:rPr>
              <w:t> руб.)</w:t>
            </w:r>
          </w:p>
        </w:tc>
      </w:tr>
    </w:tbl>
    <w:p w:rsidR="005C1307" w:rsidRDefault="005C1307" w:rsidP="005C130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C1307" w:rsidRDefault="005C1307" w:rsidP="005C130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5C1307" w:rsidRPr="00FD403B" w:rsidRDefault="005C1307" w:rsidP="005C1307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lastRenderedPageBreak/>
        <w:t xml:space="preserve">Признать заявки </w:t>
      </w:r>
      <w:r w:rsidRPr="00BF242C">
        <w:rPr>
          <w:sz w:val="24"/>
          <w:szCs w:val="24"/>
        </w:rPr>
        <w:t>ООО "ТЕХНОДИЗАЙН СЕРВИС" (680013, Россия, Хабаровский край, г. Хабаровск, ул. Ленинградская, д. 37, оф. 6)</w:t>
      </w:r>
      <w:r>
        <w:rPr>
          <w:sz w:val="24"/>
          <w:szCs w:val="24"/>
        </w:rPr>
        <w:t xml:space="preserve">, </w:t>
      </w:r>
      <w:r w:rsidRPr="00BF242C">
        <w:rPr>
          <w:sz w:val="24"/>
          <w:szCs w:val="24"/>
        </w:rPr>
        <w:t>ООО "</w:t>
      </w:r>
      <w:proofErr w:type="spellStart"/>
      <w:r w:rsidRPr="00BF242C">
        <w:rPr>
          <w:sz w:val="24"/>
          <w:szCs w:val="24"/>
        </w:rPr>
        <w:t>Актис</w:t>
      </w:r>
      <w:proofErr w:type="spellEnd"/>
      <w:r w:rsidRPr="00BF242C">
        <w:rPr>
          <w:sz w:val="24"/>
          <w:szCs w:val="24"/>
        </w:rPr>
        <w:t xml:space="preserve"> Капитал" (680007, Хабаровский край, г. Хабаровск, ул. </w:t>
      </w:r>
      <w:proofErr w:type="spellStart"/>
      <w:r w:rsidRPr="00BF242C">
        <w:rPr>
          <w:sz w:val="24"/>
          <w:szCs w:val="24"/>
        </w:rPr>
        <w:t>Волочаевская</w:t>
      </w:r>
      <w:proofErr w:type="spellEnd"/>
      <w:r w:rsidRPr="00BF242C">
        <w:rPr>
          <w:sz w:val="24"/>
          <w:szCs w:val="24"/>
        </w:rPr>
        <w:t xml:space="preserve">, д. 8, литер </w:t>
      </w:r>
      <w:proofErr w:type="gramStart"/>
      <w:r w:rsidRPr="00BF242C">
        <w:rPr>
          <w:sz w:val="24"/>
          <w:szCs w:val="24"/>
        </w:rPr>
        <w:t>Щ</w:t>
      </w:r>
      <w:proofErr w:type="gramEnd"/>
      <w:r w:rsidRPr="00BF242C">
        <w:rPr>
          <w:sz w:val="24"/>
          <w:szCs w:val="24"/>
        </w:rPr>
        <w:t>, оф. 11)</w:t>
      </w:r>
      <w:r>
        <w:rPr>
          <w:sz w:val="24"/>
          <w:szCs w:val="24"/>
        </w:rPr>
        <w:t xml:space="preserve">, </w:t>
      </w:r>
      <w:r w:rsidRPr="00BF242C">
        <w:rPr>
          <w:sz w:val="24"/>
          <w:szCs w:val="24"/>
        </w:rPr>
        <w:t>ООО "ГОРТРАНС" (680014, Россия, г. Хабаровск, квартал ДОС, д. 4/16)</w:t>
      </w:r>
      <w:r>
        <w:rPr>
          <w:sz w:val="24"/>
          <w:szCs w:val="24"/>
        </w:rPr>
        <w:t xml:space="preserve">, </w:t>
      </w:r>
      <w:r w:rsidRPr="00BF242C">
        <w:rPr>
          <w:sz w:val="24"/>
          <w:szCs w:val="24"/>
        </w:rPr>
        <w:t>ООО "</w:t>
      </w:r>
      <w:proofErr w:type="spellStart"/>
      <w:r w:rsidRPr="00BF242C">
        <w:rPr>
          <w:sz w:val="24"/>
          <w:szCs w:val="24"/>
        </w:rPr>
        <w:t>СтройАльянс</w:t>
      </w:r>
      <w:proofErr w:type="spellEnd"/>
      <w:r w:rsidRPr="00BF242C">
        <w:rPr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sz w:val="24"/>
          <w:szCs w:val="24"/>
        </w:rPr>
        <w:t xml:space="preserve">, </w:t>
      </w:r>
      <w:proofErr w:type="gramStart"/>
      <w:r w:rsidRPr="00BF242C">
        <w:rPr>
          <w:sz w:val="24"/>
          <w:szCs w:val="24"/>
        </w:rPr>
        <w:t>ООО "</w:t>
      </w:r>
      <w:proofErr w:type="spellStart"/>
      <w:r w:rsidRPr="00BF242C">
        <w:rPr>
          <w:sz w:val="24"/>
          <w:szCs w:val="24"/>
        </w:rPr>
        <w:t>Востокэлектросетьстрой</w:t>
      </w:r>
      <w:proofErr w:type="spellEnd"/>
      <w:r w:rsidRPr="00BF242C">
        <w:rPr>
          <w:sz w:val="24"/>
          <w:szCs w:val="24"/>
        </w:rPr>
        <w:t>" (680042, Россия, Хабаровский край, г. Хабаровск, ул. Тихоокеанская, д. 165)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5C1307" w:rsidRDefault="005C1307" w:rsidP="005C130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C1307" w:rsidRDefault="005C1307" w:rsidP="005C130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5C1307" w:rsidRDefault="005C1307" w:rsidP="005C130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C1307" w:rsidRDefault="005C1307" w:rsidP="005C1307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5C1307" w:rsidRPr="00A967F1" w:rsidTr="00A233F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07" w:rsidRPr="00A967F1" w:rsidRDefault="005C1307" w:rsidP="00A233F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07" w:rsidRPr="00A967F1" w:rsidRDefault="005C1307" w:rsidP="00A233F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07" w:rsidRPr="00A967F1" w:rsidRDefault="005C1307" w:rsidP="00A233F9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07" w:rsidRPr="00A967F1" w:rsidRDefault="005C1307" w:rsidP="00A233F9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5C1307" w:rsidRPr="00A967F1" w:rsidTr="00A233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07" w:rsidRPr="00A967F1" w:rsidRDefault="005C1307" w:rsidP="00A233F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ООО "</w:t>
            </w:r>
            <w:proofErr w:type="spellStart"/>
            <w:r w:rsidRPr="00FD594F">
              <w:rPr>
                <w:sz w:val="24"/>
                <w:szCs w:val="24"/>
              </w:rPr>
              <w:t>Актис</w:t>
            </w:r>
            <w:proofErr w:type="spellEnd"/>
            <w:r w:rsidRPr="00FD594F">
              <w:rPr>
                <w:sz w:val="24"/>
                <w:szCs w:val="24"/>
              </w:rPr>
              <w:t xml:space="preserve"> Капитал" (680007, Хабаровский край, г. Хабаровск, ул. </w:t>
            </w:r>
            <w:proofErr w:type="spellStart"/>
            <w:r w:rsidRPr="00FD594F">
              <w:rPr>
                <w:sz w:val="24"/>
                <w:szCs w:val="24"/>
              </w:rPr>
              <w:t>Волочаевская</w:t>
            </w:r>
            <w:proofErr w:type="spellEnd"/>
            <w:r w:rsidRPr="00FD594F">
              <w:rPr>
                <w:sz w:val="24"/>
                <w:szCs w:val="24"/>
              </w:rPr>
              <w:t xml:space="preserve">, д. 8, литер </w:t>
            </w:r>
            <w:proofErr w:type="gramStart"/>
            <w:r w:rsidRPr="00FD594F">
              <w:rPr>
                <w:sz w:val="24"/>
                <w:szCs w:val="24"/>
              </w:rPr>
              <w:t>Щ</w:t>
            </w:r>
            <w:proofErr w:type="gramEnd"/>
            <w:r w:rsidRPr="00FD594F">
              <w:rPr>
                <w:sz w:val="24"/>
                <w:szCs w:val="24"/>
              </w:rPr>
              <w:t>, оф. 11)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 xml:space="preserve">10 620 000,00 руб. (цена без НДС: </w:t>
            </w:r>
            <w:r w:rsidRPr="00FD594F">
              <w:rPr>
                <w:b/>
                <w:sz w:val="24"/>
                <w:szCs w:val="24"/>
              </w:rPr>
              <w:t>9 000 000,00</w:t>
            </w:r>
            <w:r w:rsidRPr="00FD594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07" w:rsidRDefault="005C1307" w:rsidP="00A233F9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3,20</w:t>
            </w:r>
          </w:p>
        </w:tc>
      </w:tr>
      <w:tr w:rsidR="005C1307" w:rsidRPr="00A967F1" w:rsidTr="00A233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07" w:rsidRDefault="005C1307" w:rsidP="00A233F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 xml:space="preserve">10 899 560,88 руб. (цена без НДС: </w:t>
            </w:r>
            <w:r w:rsidRPr="00FD594F">
              <w:rPr>
                <w:b/>
                <w:sz w:val="24"/>
                <w:szCs w:val="24"/>
              </w:rPr>
              <w:t>9 236 916,00</w:t>
            </w:r>
            <w:r w:rsidRPr="00FD594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07" w:rsidRDefault="005C1307" w:rsidP="00A233F9">
            <w:pPr>
              <w:ind w:firstLine="0"/>
              <w:jc w:val="center"/>
            </w:pPr>
            <w:r w:rsidRPr="006B7857">
              <w:rPr>
                <w:b/>
                <w:i/>
                <w:sz w:val="24"/>
              </w:rPr>
              <w:t>3,20</w:t>
            </w:r>
          </w:p>
        </w:tc>
      </w:tr>
      <w:tr w:rsidR="005C1307" w:rsidRPr="00A967F1" w:rsidTr="00A233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07" w:rsidRDefault="005C1307" w:rsidP="00A233F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D594F">
              <w:rPr>
                <w:sz w:val="24"/>
                <w:szCs w:val="24"/>
              </w:rPr>
              <w:t>ООО "</w:t>
            </w:r>
            <w:proofErr w:type="spellStart"/>
            <w:r w:rsidRPr="00FD594F">
              <w:rPr>
                <w:sz w:val="24"/>
                <w:szCs w:val="24"/>
              </w:rPr>
              <w:t>СтройАльянс</w:t>
            </w:r>
            <w:proofErr w:type="spellEnd"/>
            <w:r w:rsidRPr="00FD594F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 xml:space="preserve">10 970 862,38 руб. (цена без НДС: </w:t>
            </w:r>
            <w:r w:rsidRPr="00FD594F">
              <w:rPr>
                <w:b/>
                <w:sz w:val="24"/>
                <w:szCs w:val="24"/>
              </w:rPr>
              <w:t>9 297 341,00</w:t>
            </w:r>
            <w:r w:rsidRPr="00FD594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07" w:rsidRDefault="005C1307" w:rsidP="00A233F9">
            <w:pPr>
              <w:ind w:firstLine="0"/>
              <w:jc w:val="center"/>
            </w:pPr>
            <w:r w:rsidRPr="006B7857">
              <w:rPr>
                <w:b/>
                <w:i/>
                <w:sz w:val="24"/>
              </w:rPr>
              <w:t>3,20</w:t>
            </w:r>
          </w:p>
        </w:tc>
      </w:tr>
      <w:tr w:rsidR="005C1307" w:rsidRPr="00A967F1" w:rsidTr="00A233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07" w:rsidRDefault="005C1307" w:rsidP="00A233F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Востокэлектросетьстрой</w:t>
            </w:r>
            <w:proofErr w:type="spellEnd"/>
            <w:r w:rsidRPr="00FD594F">
              <w:rPr>
                <w:sz w:val="24"/>
                <w:szCs w:val="24"/>
              </w:rPr>
              <w:t>" (680042, Россия, Хабаровский край, г. Хабаровск, ул. Тихоокеанская, д. 165)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sz w:val="24"/>
                <w:szCs w:val="24"/>
              </w:rPr>
              <w:t xml:space="preserve">11 017 660,00 руб. (цена без НДС: </w:t>
            </w:r>
            <w:r w:rsidRPr="00FD594F">
              <w:rPr>
                <w:b/>
                <w:sz w:val="24"/>
                <w:szCs w:val="24"/>
              </w:rPr>
              <w:t>9 337 000,00</w:t>
            </w:r>
            <w:r w:rsidRPr="00FD594F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07" w:rsidRDefault="005C1307" w:rsidP="00A233F9">
            <w:pPr>
              <w:ind w:firstLine="0"/>
              <w:jc w:val="center"/>
            </w:pPr>
            <w:r w:rsidRPr="006B7857">
              <w:rPr>
                <w:b/>
                <w:i/>
                <w:sz w:val="24"/>
              </w:rPr>
              <w:t>3,20</w:t>
            </w:r>
          </w:p>
        </w:tc>
      </w:tr>
      <w:tr w:rsidR="005C1307" w:rsidRPr="00A967F1" w:rsidTr="00A233F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07" w:rsidRDefault="005C1307" w:rsidP="00A233F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D594F">
              <w:rPr>
                <w:sz w:val="24"/>
                <w:szCs w:val="24"/>
              </w:rPr>
              <w:t>ООО "ТЕХНОДИЗАЙН СЕРВИС" (680013, Россия, Хабаровский край, г. Хабаров</w:t>
            </w:r>
            <w:bookmarkStart w:id="2" w:name="_GoBack"/>
            <w:bookmarkEnd w:id="2"/>
            <w:r w:rsidRPr="00FD594F">
              <w:rPr>
                <w:sz w:val="24"/>
                <w:szCs w:val="24"/>
              </w:rPr>
              <w:t>ск, ул. Ленинградская, д. 37, оф. 6)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07" w:rsidRPr="00FD594F" w:rsidRDefault="005C1307" w:rsidP="00A233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594F">
              <w:rPr>
                <w:b/>
                <w:sz w:val="24"/>
                <w:szCs w:val="24"/>
              </w:rPr>
              <w:t>8 406 790,00 </w:t>
            </w:r>
            <w:r w:rsidRPr="00FD594F">
              <w:rPr>
                <w:sz w:val="24"/>
                <w:szCs w:val="24"/>
              </w:rPr>
              <w:t>руб. (НДС не облагается)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07" w:rsidRDefault="005C1307" w:rsidP="00A233F9">
            <w:pPr>
              <w:ind w:firstLine="33"/>
              <w:jc w:val="center"/>
            </w:pPr>
            <w:r>
              <w:rPr>
                <w:b/>
                <w:i/>
                <w:sz w:val="24"/>
              </w:rPr>
              <w:t>3,00</w:t>
            </w:r>
          </w:p>
        </w:tc>
      </w:tr>
    </w:tbl>
    <w:p w:rsidR="005C1307" w:rsidRDefault="005C1307" w:rsidP="005C1307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C1307" w:rsidRDefault="005C1307" w:rsidP="005C130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5C1307" w:rsidRDefault="005C1307" w:rsidP="005C130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C1307" w:rsidRPr="00E763D2" w:rsidRDefault="005C1307" w:rsidP="005C1307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5C1307" w:rsidRPr="00E763D2" w:rsidRDefault="005C1307" w:rsidP="005C1307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BF242C">
        <w:rPr>
          <w:sz w:val="24"/>
          <w:szCs w:val="24"/>
        </w:rPr>
        <w:t>ООО "ТЕХНОДИЗАЙН СЕРВИС" (680013, Россия, Хабаровский край, г. Хабаровск, ул. Ленинградская, д. 37, оф. 6)</w:t>
      </w:r>
      <w:r>
        <w:rPr>
          <w:sz w:val="24"/>
          <w:szCs w:val="24"/>
        </w:rPr>
        <w:t xml:space="preserve">, </w:t>
      </w:r>
      <w:r w:rsidRPr="00BF242C">
        <w:rPr>
          <w:sz w:val="24"/>
          <w:szCs w:val="24"/>
        </w:rPr>
        <w:t>ООО "</w:t>
      </w:r>
      <w:proofErr w:type="spellStart"/>
      <w:r w:rsidRPr="00BF242C">
        <w:rPr>
          <w:sz w:val="24"/>
          <w:szCs w:val="24"/>
        </w:rPr>
        <w:t>Актис</w:t>
      </w:r>
      <w:proofErr w:type="spellEnd"/>
      <w:r w:rsidRPr="00BF242C">
        <w:rPr>
          <w:sz w:val="24"/>
          <w:szCs w:val="24"/>
        </w:rPr>
        <w:t xml:space="preserve"> Капитал" (680007, Хабаровский край, г. Хабаровск, ул. </w:t>
      </w:r>
      <w:proofErr w:type="spellStart"/>
      <w:r w:rsidRPr="00BF242C">
        <w:rPr>
          <w:sz w:val="24"/>
          <w:szCs w:val="24"/>
        </w:rPr>
        <w:t>Волочаевская</w:t>
      </w:r>
      <w:proofErr w:type="spellEnd"/>
      <w:r w:rsidRPr="00BF242C">
        <w:rPr>
          <w:sz w:val="24"/>
          <w:szCs w:val="24"/>
        </w:rPr>
        <w:t xml:space="preserve">, д. 8, литер </w:t>
      </w:r>
      <w:proofErr w:type="gramStart"/>
      <w:r w:rsidRPr="00BF242C">
        <w:rPr>
          <w:sz w:val="24"/>
          <w:szCs w:val="24"/>
        </w:rPr>
        <w:t>Щ</w:t>
      </w:r>
      <w:proofErr w:type="gramEnd"/>
      <w:r w:rsidRPr="00BF242C">
        <w:rPr>
          <w:sz w:val="24"/>
          <w:szCs w:val="24"/>
        </w:rPr>
        <w:t>, оф. 11)</w:t>
      </w:r>
      <w:r>
        <w:rPr>
          <w:sz w:val="24"/>
          <w:szCs w:val="24"/>
        </w:rPr>
        <w:t xml:space="preserve">, </w:t>
      </w:r>
      <w:r w:rsidRPr="00BF242C">
        <w:rPr>
          <w:sz w:val="24"/>
          <w:szCs w:val="24"/>
        </w:rPr>
        <w:t>ООО "ГОРТРАНС" (680014, Россия, г. Хабаровск, квартал ДОС, д. 4/16)</w:t>
      </w:r>
      <w:r>
        <w:rPr>
          <w:sz w:val="24"/>
          <w:szCs w:val="24"/>
        </w:rPr>
        <w:t xml:space="preserve">, </w:t>
      </w:r>
      <w:r w:rsidRPr="00BF242C">
        <w:rPr>
          <w:sz w:val="24"/>
          <w:szCs w:val="24"/>
        </w:rPr>
        <w:t>ООО "</w:t>
      </w:r>
      <w:proofErr w:type="spellStart"/>
      <w:r w:rsidRPr="00BF242C">
        <w:rPr>
          <w:sz w:val="24"/>
          <w:szCs w:val="24"/>
        </w:rPr>
        <w:t>СтройАльянс</w:t>
      </w:r>
      <w:proofErr w:type="spellEnd"/>
      <w:r w:rsidRPr="00BF242C">
        <w:rPr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sz w:val="24"/>
          <w:szCs w:val="24"/>
        </w:rPr>
        <w:t xml:space="preserve">, </w:t>
      </w:r>
      <w:r w:rsidRPr="00BF242C">
        <w:rPr>
          <w:sz w:val="24"/>
          <w:szCs w:val="24"/>
        </w:rPr>
        <w:t>ООО "</w:t>
      </w:r>
      <w:proofErr w:type="spellStart"/>
      <w:r w:rsidRPr="00BF242C">
        <w:rPr>
          <w:sz w:val="24"/>
          <w:szCs w:val="24"/>
        </w:rPr>
        <w:t>Востокэлектросетьстрой</w:t>
      </w:r>
      <w:proofErr w:type="spellEnd"/>
      <w:r w:rsidRPr="00BF242C">
        <w:rPr>
          <w:sz w:val="24"/>
          <w:szCs w:val="24"/>
        </w:rPr>
        <w:t>" (</w:t>
      </w:r>
      <w:proofErr w:type="gramStart"/>
      <w:r w:rsidRPr="00BF242C">
        <w:rPr>
          <w:sz w:val="24"/>
          <w:szCs w:val="24"/>
        </w:rPr>
        <w:t>680042, Россия, Хабаровский край, г. Хабаровск, ул. Тихоокеанская, д. 165)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5C1307" w:rsidRPr="00E763D2" w:rsidRDefault="005C1307" w:rsidP="005C1307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5C1307" w:rsidRPr="00E763D2" w:rsidRDefault="005C1307" w:rsidP="005C1307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 w:rsidR="00F10A8A">
        <w:rPr>
          <w:color w:val="000000" w:themeColor="text1"/>
          <w:sz w:val="24"/>
          <w:szCs w:val="24"/>
        </w:rPr>
        <w:t>12.01.2017 в 16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5C1307" w:rsidRPr="00E763D2" w:rsidRDefault="005C1307" w:rsidP="005C1307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5C1307" w:rsidRPr="00BF0BC8" w:rsidRDefault="005C1307" w:rsidP="005C1307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5E53C4" w:rsidRDefault="005E53C4" w:rsidP="005E53C4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E36E6">
      <w:headerReference w:type="default" r:id="rId11"/>
      <w:footerReference w:type="default" r:id="rId12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A4" w:rsidRDefault="007C11A4" w:rsidP="00355095">
      <w:pPr>
        <w:spacing w:line="240" w:lineRule="auto"/>
      </w:pPr>
      <w:r>
        <w:separator/>
      </w:r>
    </w:p>
  </w:endnote>
  <w:endnote w:type="continuationSeparator" w:id="0">
    <w:p w:rsidR="007C11A4" w:rsidRDefault="007C11A4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218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97218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A4" w:rsidRDefault="007C11A4" w:rsidP="00355095">
      <w:pPr>
        <w:spacing w:line="240" w:lineRule="auto"/>
      </w:pPr>
      <w:r>
        <w:separator/>
      </w:r>
    </w:p>
  </w:footnote>
  <w:footnote w:type="continuationSeparator" w:id="0">
    <w:p w:rsidR="007C11A4" w:rsidRDefault="007C11A4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5C1307">
      <w:rPr>
        <w:i/>
        <w:sz w:val="20"/>
      </w:rPr>
      <w:t>66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6"/>
  </w:num>
  <w:num w:numId="16">
    <w:abstractNumId w:val="45"/>
  </w:num>
  <w:num w:numId="17">
    <w:abstractNumId w:val="48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36912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11A4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777C"/>
    <w:rsid w:val="008401E4"/>
    <w:rsid w:val="00861C62"/>
    <w:rsid w:val="00867D4D"/>
    <w:rsid w:val="008759B3"/>
    <w:rsid w:val="00886219"/>
    <w:rsid w:val="00886D43"/>
    <w:rsid w:val="0088746E"/>
    <w:rsid w:val="0088789A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7218E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27673"/>
    <w:rsid w:val="00C438F5"/>
    <w:rsid w:val="00C45048"/>
    <w:rsid w:val="00C52642"/>
    <w:rsid w:val="00C52908"/>
    <w:rsid w:val="00C55AD2"/>
    <w:rsid w:val="00C60BDD"/>
    <w:rsid w:val="00C62488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C37A2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0A8A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B937-DF7D-4DB1-83AC-D7DB9548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</cp:revision>
  <cp:lastPrinted>2017-01-11T06:54:00Z</cp:lastPrinted>
  <dcterms:created xsi:type="dcterms:W3CDTF">2016-12-27T05:07:00Z</dcterms:created>
  <dcterms:modified xsi:type="dcterms:W3CDTF">2017-01-11T06:57:00Z</dcterms:modified>
</cp:coreProperties>
</file>