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3CE5">
        <w:rPr>
          <w:rFonts w:cs="Arial"/>
          <w:b/>
          <w:bCs/>
          <w:iCs/>
          <w:snapToGrid/>
          <w:spacing w:val="40"/>
          <w:sz w:val="36"/>
          <w:szCs w:val="36"/>
        </w:rPr>
        <w:t>596/</w:t>
      </w:r>
      <w:proofErr w:type="gramStart"/>
      <w:r w:rsidR="00A43CE5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A43CE5" w:rsidRPr="00A43CE5">
        <w:rPr>
          <w:rFonts w:eastAsia="Calibri"/>
          <w:b/>
          <w:i/>
          <w:szCs w:val="28"/>
          <w:lang w:eastAsia="en-US"/>
        </w:rPr>
        <w:t>СИЗ заземления переносные</w:t>
      </w:r>
      <w:proofErr w:type="gramStart"/>
      <w:r w:rsidR="00A43CE5" w:rsidRPr="00A43CE5">
        <w:rPr>
          <w:rFonts w:eastAsia="Calibri"/>
          <w:b/>
          <w:bCs/>
          <w:i/>
          <w:iCs/>
          <w:snapToGrid w:val="0"/>
          <w:szCs w:val="28"/>
          <w:lang w:eastAsia="en-US"/>
        </w:rPr>
        <w:t>.</w:t>
      </w:r>
      <w:proofErr w:type="gramEnd"/>
      <w:r w:rsidR="00A43CE5" w:rsidRPr="00A43CE5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A43CE5" w:rsidRPr="00A43CE5">
        <w:rPr>
          <w:b/>
          <w:bCs/>
          <w:szCs w:val="28"/>
        </w:rPr>
        <w:t>з</w:t>
      </w:r>
      <w:proofErr w:type="gramEnd"/>
      <w:r w:rsidR="00A43CE5" w:rsidRPr="00A43CE5">
        <w:rPr>
          <w:b/>
          <w:bCs/>
          <w:szCs w:val="28"/>
        </w:rPr>
        <w:t>акупка 1275</w:t>
      </w:r>
      <w:r w:rsidR="00A43CE5" w:rsidRPr="00A43CE5">
        <w:rPr>
          <w:b/>
          <w:bCs/>
          <w:i/>
          <w:iCs/>
          <w:snapToGrid w:val="0"/>
          <w:szCs w:val="28"/>
        </w:rPr>
        <w:t xml:space="preserve"> </w:t>
      </w:r>
      <w:r w:rsidR="00A43CE5" w:rsidRPr="00A43CE5">
        <w:rPr>
          <w:b/>
          <w:bCs/>
          <w:szCs w:val="28"/>
        </w:rPr>
        <w:t xml:space="preserve"> раздел 4.2.  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36E8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3C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E80">
              <w:rPr>
                <w:rFonts w:ascii="Times New Roman" w:hAnsi="Times New Roman"/>
                <w:sz w:val="24"/>
                <w:szCs w:val="24"/>
              </w:rPr>
              <w:t>26</w:t>
            </w:r>
            <w:r w:rsidR="00A43C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43CE5" w:rsidRPr="00A43CE5" w:rsidRDefault="00A43CE5" w:rsidP="00A43CE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43CE5">
        <w:rPr>
          <w:bCs/>
          <w:i/>
          <w:iCs/>
          <w:snapToGrid/>
          <w:sz w:val="26"/>
          <w:szCs w:val="26"/>
        </w:rPr>
        <w:t xml:space="preserve">О </w:t>
      </w:r>
      <w:r w:rsidRPr="00A43CE5">
        <w:rPr>
          <w:b/>
          <w:bCs/>
          <w:i/>
          <w:iCs/>
          <w:snapToGrid/>
          <w:sz w:val="26"/>
          <w:szCs w:val="26"/>
        </w:rPr>
        <w:t xml:space="preserve"> </w:t>
      </w:r>
      <w:r w:rsidRPr="00A43CE5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A43CE5" w:rsidRPr="00A43CE5" w:rsidRDefault="00A43CE5" w:rsidP="00A43CE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43CE5">
        <w:rPr>
          <w:bCs/>
          <w:i/>
          <w:iCs/>
          <w:snapToGrid/>
          <w:sz w:val="26"/>
          <w:szCs w:val="26"/>
        </w:rPr>
        <w:t>Об отклонении заявки участника ООО "Электроприбор"</w:t>
      </w:r>
    </w:p>
    <w:p w:rsidR="00A43CE5" w:rsidRPr="00A43CE5" w:rsidRDefault="00A43CE5" w:rsidP="00A43CE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43CE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43CE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43CE5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A43CE5" w:rsidRPr="00A43CE5" w:rsidRDefault="00A43CE5" w:rsidP="00A43CE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43CE5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A43CE5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A43CE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43CE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43CE5">
        <w:rPr>
          <w:bCs/>
          <w:i/>
          <w:iCs/>
          <w:snapToGrid/>
          <w:sz w:val="26"/>
          <w:szCs w:val="26"/>
        </w:rPr>
        <w:t xml:space="preserve"> заявок.</w:t>
      </w:r>
    </w:p>
    <w:p w:rsidR="00A43CE5" w:rsidRPr="00A43CE5" w:rsidRDefault="00A43CE5" w:rsidP="00A43CE5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A43CE5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A43CE5" w:rsidRPr="00A43CE5" w:rsidRDefault="00A43CE5" w:rsidP="00A43CE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A43CE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43CE5" w:rsidRPr="00A43CE5" w:rsidRDefault="00A43CE5" w:rsidP="00A43CE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A43CE5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5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"/>
        <w:gridCol w:w="4526"/>
        <w:gridCol w:w="4574"/>
      </w:tblGrid>
      <w:tr w:rsidR="00A43CE5" w:rsidRPr="00A43CE5" w:rsidTr="00A43CE5">
        <w:trPr>
          <w:trHeight w:val="70"/>
        </w:trPr>
        <w:tc>
          <w:tcPr>
            <w:tcW w:w="453" w:type="dxa"/>
          </w:tcPr>
          <w:p w:rsidR="00A43CE5" w:rsidRPr="00A43CE5" w:rsidRDefault="00A43CE5" w:rsidP="00A43C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CE5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526" w:type="dxa"/>
          </w:tcPr>
          <w:p w:rsidR="00A43CE5" w:rsidRPr="00A43CE5" w:rsidRDefault="00A43CE5" w:rsidP="00A43C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CE5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574" w:type="dxa"/>
          </w:tcPr>
          <w:p w:rsidR="00A43CE5" w:rsidRPr="00A43CE5" w:rsidRDefault="00A43CE5" w:rsidP="00A43C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CE5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A43CE5" w:rsidRPr="00A43CE5" w:rsidTr="00A43CE5">
        <w:trPr>
          <w:trHeight w:val="70"/>
        </w:trPr>
        <w:tc>
          <w:tcPr>
            <w:tcW w:w="453" w:type="dxa"/>
          </w:tcPr>
          <w:p w:rsidR="00A43CE5" w:rsidRPr="00A43CE5" w:rsidRDefault="00A43CE5" w:rsidP="00A43C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43CE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6" w:type="dxa"/>
          </w:tcPr>
          <w:p w:rsidR="00A43CE5" w:rsidRPr="00A43CE5" w:rsidRDefault="00A43CE5" w:rsidP="00A43CE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43CE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A43CE5">
              <w:rPr>
                <w:b/>
                <w:i/>
                <w:snapToGrid/>
                <w:sz w:val="22"/>
                <w:szCs w:val="22"/>
              </w:rPr>
              <w:t>ЭнергоПромЗащита</w:t>
            </w:r>
            <w:proofErr w:type="spellEnd"/>
            <w:r w:rsidRPr="00A43CE5">
              <w:rPr>
                <w:b/>
                <w:i/>
                <w:snapToGrid/>
                <w:sz w:val="22"/>
                <w:szCs w:val="22"/>
              </w:rPr>
              <w:t>"</w:t>
            </w:r>
            <w:r w:rsidRPr="00A43CE5">
              <w:rPr>
                <w:snapToGrid/>
                <w:sz w:val="22"/>
                <w:szCs w:val="22"/>
              </w:rPr>
              <w:t xml:space="preserve"> (Республика Татарстан (Татарстан), г. Казань, </w:t>
            </w:r>
            <w:proofErr w:type="spellStart"/>
            <w:r w:rsidRPr="00A43CE5">
              <w:rPr>
                <w:snapToGrid/>
                <w:sz w:val="22"/>
                <w:szCs w:val="22"/>
              </w:rPr>
              <w:t>Вахитовский</w:t>
            </w:r>
            <w:proofErr w:type="spellEnd"/>
            <w:r w:rsidRPr="00A43CE5">
              <w:rPr>
                <w:snapToGrid/>
                <w:sz w:val="22"/>
                <w:szCs w:val="22"/>
              </w:rPr>
              <w:t xml:space="preserve"> р-н)</w:t>
            </w:r>
          </w:p>
        </w:tc>
        <w:tc>
          <w:tcPr>
            <w:tcW w:w="4574" w:type="dxa"/>
          </w:tcPr>
          <w:p w:rsidR="00A43CE5" w:rsidRPr="00A43CE5" w:rsidRDefault="00A43CE5" w:rsidP="00A43CE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43CE5">
              <w:rPr>
                <w:snapToGrid/>
                <w:sz w:val="22"/>
                <w:szCs w:val="22"/>
              </w:rPr>
              <w:t>Заявка, подана 30.06.2016 в 08:15</w:t>
            </w:r>
            <w:r w:rsidRPr="00A43CE5">
              <w:rPr>
                <w:snapToGrid/>
                <w:sz w:val="22"/>
                <w:szCs w:val="22"/>
              </w:rPr>
              <w:br/>
              <w:t>Цена: 1 989 583,65 руб. (цена без НДС: 1 686 087,84 руб.)</w:t>
            </w:r>
          </w:p>
        </w:tc>
      </w:tr>
      <w:tr w:rsidR="00A43CE5" w:rsidRPr="00A43CE5" w:rsidTr="00A43CE5">
        <w:trPr>
          <w:trHeight w:val="70"/>
        </w:trPr>
        <w:tc>
          <w:tcPr>
            <w:tcW w:w="453" w:type="dxa"/>
          </w:tcPr>
          <w:p w:rsidR="00A43CE5" w:rsidRPr="00A43CE5" w:rsidRDefault="00A43CE5" w:rsidP="00A43C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CE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6" w:type="dxa"/>
          </w:tcPr>
          <w:p w:rsidR="00A43CE5" w:rsidRPr="00A43CE5" w:rsidRDefault="00A43CE5" w:rsidP="00A43CE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proofErr w:type="gramStart"/>
            <w:r w:rsidRPr="00A43CE5">
              <w:rPr>
                <w:b/>
                <w:i/>
                <w:snapToGrid/>
                <w:sz w:val="22"/>
                <w:szCs w:val="22"/>
              </w:rPr>
              <w:t>ООО "Электроприбор"</w:t>
            </w:r>
            <w:r w:rsidRPr="00A43CE5">
              <w:rPr>
                <w:snapToGrid/>
                <w:sz w:val="22"/>
                <w:szCs w:val="22"/>
              </w:rPr>
              <w:t xml:space="preserve"> (350039, Россия, Краснодарский край, г. Краснодар, ул. им. Калинина, дом № 1/25)</w:t>
            </w:r>
            <w:proofErr w:type="gramEnd"/>
          </w:p>
        </w:tc>
        <w:tc>
          <w:tcPr>
            <w:tcW w:w="4574" w:type="dxa"/>
          </w:tcPr>
          <w:p w:rsidR="00A43CE5" w:rsidRPr="00A43CE5" w:rsidRDefault="00A43CE5" w:rsidP="00A43CE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43CE5">
              <w:rPr>
                <w:snapToGrid/>
                <w:sz w:val="22"/>
                <w:szCs w:val="22"/>
              </w:rPr>
              <w:t>Заявка, подана 30.06.2016 в 07:59</w:t>
            </w:r>
            <w:r w:rsidRPr="00A43CE5">
              <w:rPr>
                <w:snapToGrid/>
                <w:sz w:val="22"/>
                <w:szCs w:val="22"/>
              </w:rPr>
              <w:br/>
              <w:t>Цена: 2 066 197,70 руб. (цена без НДС: 1 751 015,00 руб.)</w:t>
            </w:r>
          </w:p>
        </w:tc>
      </w:tr>
      <w:tr w:rsidR="00A43CE5" w:rsidRPr="00A43CE5" w:rsidTr="00A43CE5">
        <w:trPr>
          <w:trHeight w:val="70"/>
        </w:trPr>
        <w:tc>
          <w:tcPr>
            <w:tcW w:w="453" w:type="dxa"/>
          </w:tcPr>
          <w:p w:rsidR="00A43CE5" w:rsidRPr="00A43CE5" w:rsidRDefault="00A43CE5" w:rsidP="00A43C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CE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6" w:type="dxa"/>
          </w:tcPr>
          <w:p w:rsidR="00A43CE5" w:rsidRPr="00A43CE5" w:rsidRDefault="00A43CE5" w:rsidP="00A43CE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43CE5">
              <w:rPr>
                <w:b/>
                <w:i/>
                <w:snapToGrid/>
                <w:sz w:val="22"/>
                <w:szCs w:val="22"/>
              </w:rPr>
              <w:t>ООО ТД "ЭТО"</w:t>
            </w:r>
            <w:r w:rsidRPr="00A43CE5">
              <w:rPr>
                <w:snapToGrid/>
                <w:sz w:val="22"/>
                <w:szCs w:val="22"/>
              </w:rPr>
              <w:t xml:space="preserve"> (115230, г. Москва, Шоссе Каширское, д. 5, корп. 1)</w:t>
            </w:r>
          </w:p>
        </w:tc>
        <w:tc>
          <w:tcPr>
            <w:tcW w:w="4574" w:type="dxa"/>
          </w:tcPr>
          <w:p w:rsidR="00A43CE5" w:rsidRPr="00A43CE5" w:rsidRDefault="00A43CE5" w:rsidP="00A43CE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43CE5">
              <w:rPr>
                <w:snapToGrid/>
                <w:sz w:val="22"/>
                <w:szCs w:val="22"/>
              </w:rPr>
              <w:t>Заявка, подана 29.06.2016 в 14:41</w:t>
            </w:r>
            <w:r w:rsidRPr="00A43CE5">
              <w:rPr>
                <w:snapToGrid/>
                <w:sz w:val="22"/>
                <w:szCs w:val="22"/>
              </w:rPr>
              <w:br/>
              <w:t>Цена: 2 100 265,48 руб. (цена без НДС: 1 779 886,00 руб.)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2. Об отклонении </w:t>
      </w:r>
      <w:r w:rsidR="00A43CE5" w:rsidRPr="00A43CE5">
        <w:rPr>
          <w:b/>
          <w:bCs/>
          <w:i/>
          <w:iCs/>
          <w:sz w:val="26"/>
          <w:szCs w:val="26"/>
        </w:rPr>
        <w:t xml:space="preserve">  заявки участника ООО "Электроприбор"</w:t>
      </w:r>
    </w:p>
    <w:p w:rsidR="007A00F4" w:rsidRPr="007A00F4" w:rsidRDefault="003C4A76" w:rsidP="007A00F4">
      <w:pPr>
        <w:spacing w:line="240" w:lineRule="auto"/>
        <w:rPr>
          <w:b/>
          <w:sz w:val="26"/>
          <w:szCs w:val="26"/>
        </w:rPr>
      </w:pPr>
      <w:r w:rsidRPr="007A00F4">
        <w:rPr>
          <w:sz w:val="26"/>
          <w:szCs w:val="26"/>
        </w:rPr>
        <w:tab/>
      </w:r>
      <w:r w:rsidR="007A00F4" w:rsidRPr="007A00F4">
        <w:rPr>
          <w:b/>
          <w:sz w:val="26"/>
          <w:szCs w:val="26"/>
        </w:rPr>
        <w:t>РЕШИЛИ:</w:t>
      </w:r>
    </w:p>
    <w:p w:rsidR="00A43CE5" w:rsidRPr="00A43CE5" w:rsidRDefault="007A00F4" w:rsidP="00A43CE5">
      <w:pPr>
        <w:spacing w:line="240" w:lineRule="auto"/>
        <w:rPr>
          <w:snapToGrid/>
          <w:sz w:val="26"/>
          <w:szCs w:val="26"/>
        </w:rPr>
      </w:pPr>
      <w:r w:rsidRPr="007A00F4">
        <w:rPr>
          <w:sz w:val="26"/>
          <w:szCs w:val="26"/>
        </w:rPr>
        <w:tab/>
      </w:r>
      <w:proofErr w:type="gramStart"/>
      <w:r w:rsidR="00A43CE5" w:rsidRPr="00A43CE5">
        <w:rPr>
          <w:snapToGrid/>
          <w:sz w:val="26"/>
          <w:szCs w:val="26"/>
        </w:rPr>
        <w:t xml:space="preserve">Отклонить заявку Участника </w:t>
      </w:r>
      <w:r w:rsidR="00A43CE5" w:rsidRPr="00A43CE5">
        <w:rPr>
          <w:b/>
          <w:i/>
          <w:snapToGrid/>
          <w:sz w:val="26"/>
          <w:szCs w:val="26"/>
        </w:rPr>
        <w:t>ООО "Электроприбор"</w:t>
      </w:r>
      <w:r w:rsidR="00A43CE5" w:rsidRPr="00A43CE5">
        <w:rPr>
          <w:snapToGrid/>
          <w:sz w:val="26"/>
          <w:szCs w:val="26"/>
        </w:rPr>
        <w:t xml:space="preserve"> (350039, Россия, Краснодарский край, г. Краснодар, ул. им. Калинина, дом № 1/25) от дальнейшего рассмотрения на основании выявленных</w:t>
      </w:r>
      <w:r w:rsidR="00A43CE5" w:rsidRPr="003E30DC">
        <w:rPr>
          <w:snapToGrid/>
          <w:sz w:val="26"/>
          <w:szCs w:val="26"/>
        </w:rPr>
        <w:t xml:space="preserve"> несоответстви</w:t>
      </w:r>
      <w:r w:rsidR="00A43CE5" w:rsidRPr="00A43CE5">
        <w:rPr>
          <w:snapToGrid/>
          <w:sz w:val="26"/>
          <w:szCs w:val="26"/>
        </w:rPr>
        <w:t>й</w:t>
      </w:r>
      <w:r w:rsidR="00A43CE5" w:rsidRPr="003E30DC">
        <w:rPr>
          <w:snapToGrid/>
          <w:sz w:val="26"/>
          <w:szCs w:val="26"/>
        </w:rPr>
        <w:t xml:space="preserve"> требованиям Технического задания (технические характеристики закупаемой продукции)</w:t>
      </w:r>
      <w:r w:rsidR="00A43CE5" w:rsidRPr="00A43CE5">
        <w:rPr>
          <w:snapToGrid/>
          <w:sz w:val="26"/>
          <w:szCs w:val="26"/>
        </w:rPr>
        <w:t xml:space="preserve"> </w:t>
      </w:r>
      <w:r w:rsidR="00A43CE5" w:rsidRPr="003E30DC">
        <w:rPr>
          <w:snapToGrid/>
          <w:sz w:val="26"/>
          <w:szCs w:val="26"/>
        </w:rPr>
        <w:t>п.п.14. пункта 1.1.</w:t>
      </w:r>
      <w:r w:rsidR="00A43CE5" w:rsidRPr="00A43CE5">
        <w:rPr>
          <w:snapToGrid/>
          <w:sz w:val="26"/>
          <w:szCs w:val="26"/>
        </w:rPr>
        <w:t xml:space="preserve">, </w:t>
      </w:r>
      <w:r w:rsidR="00A43CE5" w:rsidRPr="003E30DC">
        <w:rPr>
          <w:snapToGrid/>
          <w:sz w:val="26"/>
          <w:szCs w:val="26"/>
        </w:rPr>
        <w:t xml:space="preserve">п.п.15. пункта 1.1., </w:t>
      </w:r>
      <w:proofErr w:type="spellStart"/>
      <w:r w:rsidR="00A43CE5" w:rsidRPr="003E30DC">
        <w:rPr>
          <w:snapToGrid/>
          <w:sz w:val="26"/>
          <w:szCs w:val="26"/>
        </w:rPr>
        <w:t>п.п</w:t>
      </w:r>
      <w:proofErr w:type="spellEnd"/>
      <w:r w:rsidR="00A43CE5" w:rsidRPr="003E30DC">
        <w:rPr>
          <w:snapToGrid/>
          <w:sz w:val="26"/>
          <w:szCs w:val="26"/>
        </w:rPr>
        <w:t>. 15. п.1.2</w:t>
      </w:r>
      <w:r w:rsidR="00A43CE5" w:rsidRPr="00A43CE5">
        <w:rPr>
          <w:snapToGrid/>
          <w:sz w:val="26"/>
          <w:szCs w:val="26"/>
        </w:rPr>
        <w:t xml:space="preserve">, </w:t>
      </w:r>
      <w:r w:rsidR="00A43CE5" w:rsidRPr="003E30DC">
        <w:rPr>
          <w:snapToGrid/>
          <w:sz w:val="26"/>
          <w:szCs w:val="26"/>
        </w:rPr>
        <w:t xml:space="preserve">п.п.15. пункта 1.1., </w:t>
      </w:r>
      <w:proofErr w:type="spellStart"/>
      <w:r w:rsidR="00A43CE5" w:rsidRPr="003E30DC">
        <w:rPr>
          <w:snapToGrid/>
          <w:sz w:val="26"/>
          <w:szCs w:val="26"/>
        </w:rPr>
        <w:t>п.п</w:t>
      </w:r>
      <w:proofErr w:type="spellEnd"/>
      <w:r w:rsidR="00A43CE5" w:rsidRPr="003E30DC">
        <w:rPr>
          <w:snapToGrid/>
          <w:sz w:val="26"/>
          <w:szCs w:val="26"/>
        </w:rPr>
        <w:t>. 15. п.1.2</w:t>
      </w:r>
      <w:r w:rsidR="00A43CE5" w:rsidRPr="00A43CE5">
        <w:rPr>
          <w:snapToGrid/>
          <w:sz w:val="26"/>
          <w:szCs w:val="26"/>
        </w:rPr>
        <w:t xml:space="preserve">, </w:t>
      </w:r>
      <w:r w:rsidR="00A43CE5" w:rsidRPr="003E30DC">
        <w:rPr>
          <w:snapToGrid/>
          <w:sz w:val="26"/>
          <w:szCs w:val="26"/>
        </w:rPr>
        <w:t>п.п.16. п</w:t>
      </w:r>
      <w:proofErr w:type="gramEnd"/>
      <w:r w:rsidR="00A43CE5" w:rsidRPr="003E30DC">
        <w:rPr>
          <w:snapToGrid/>
          <w:sz w:val="26"/>
          <w:szCs w:val="26"/>
        </w:rPr>
        <w:t xml:space="preserve">.1.1., </w:t>
      </w:r>
      <w:proofErr w:type="spellStart"/>
      <w:r w:rsidR="00A43CE5" w:rsidRPr="003E30DC">
        <w:rPr>
          <w:snapToGrid/>
          <w:sz w:val="26"/>
          <w:szCs w:val="26"/>
        </w:rPr>
        <w:t>п.п</w:t>
      </w:r>
      <w:proofErr w:type="spellEnd"/>
      <w:r w:rsidR="00A43CE5" w:rsidRPr="003E30DC">
        <w:rPr>
          <w:snapToGrid/>
          <w:sz w:val="26"/>
          <w:szCs w:val="26"/>
        </w:rPr>
        <w:t>. 17. п.1.2.</w:t>
      </w:r>
    </w:p>
    <w:tbl>
      <w:tblPr>
        <w:tblpPr w:leftFromText="180" w:rightFromText="180" w:vertAnchor="text" w:horzAnchor="margin" w:tblpY="188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A43CE5" w:rsidRPr="00A43CE5" w:rsidTr="00A43CE5">
        <w:trPr>
          <w:trHeight w:val="215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43CE5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43CE5" w:rsidRPr="00A43CE5" w:rsidTr="00A43CE5">
        <w:trPr>
          <w:trHeight w:val="674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uppressAutoHyphens/>
              <w:spacing w:line="276" w:lineRule="auto"/>
              <w:rPr>
                <w:snapToGrid/>
                <w:sz w:val="24"/>
                <w:szCs w:val="24"/>
              </w:rPr>
            </w:pPr>
            <w:r w:rsidRPr="00A43CE5">
              <w:rPr>
                <w:snapToGrid/>
                <w:sz w:val="24"/>
                <w:szCs w:val="24"/>
              </w:rPr>
              <w:lastRenderedPageBreak/>
              <w:t xml:space="preserve">В представленном Участником Техническом </w:t>
            </w:r>
            <w:proofErr w:type="gramStart"/>
            <w:r w:rsidRPr="00A43CE5">
              <w:rPr>
                <w:snapToGrid/>
                <w:sz w:val="24"/>
                <w:szCs w:val="24"/>
              </w:rPr>
              <w:t>предложении</w:t>
            </w:r>
            <w:proofErr w:type="gramEnd"/>
            <w:r w:rsidRPr="00A43CE5">
              <w:rPr>
                <w:snapToGrid/>
                <w:sz w:val="24"/>
                <w:szCs w:val="24"/>
              </w:rPr>
              <w:t xml:space="preserve"> выявлены   несоответствия требованиям Технического задания (технические характеристики закупаемой продукции):</w:t>
            </w:r>
          </w:p>
          <w:p w:rsidR="00A43CE5" w:rsidRPr="00A43CE5" w:rsidRDefault="00A43CE5" w:rsidP="00A43CE5">
            <w:pPr>
              <w:numPr>
                <w:ilvl w:val="0"/>
                <w:numId w:val="32"/>
              </w:numPr>
              <w:tabs>
                <w:tab w:val="left" w:pos="0"/>
                <w:tab w:val="left" w:pos="667"/>
              </w:tabs>
              <w:spacing w:line="276" w:lineRule="auto"/>
              <w:ind w:left="0" w:firstLine="284"/>
              <w:contextualSpacing/>
              <w:rPr>
                <w:snapToGrid/>
                <w:sz w:val="24"/>
                <w:szCs w:val="24"/>
              </w:rPr>
            </w:pPr>
            <w:r w:rsidRPr="00A43CE5">
              <w:rPr>
                <w:snapToGrid/>
                <w:sz w:val="24"/>
                <w:szCs w:val="24"/>
              </w:rPr>
              <w:t xml:space="preserve">п.п.14. пункта 1.1. Заземление переносное для </w:t>
            </w:r>
            <w:proofErr w:type="gramStart"/>
            <w:r w:rsidRPr="00A43CE5">
              <w:rPr>
                <w:snapToGrid/>
                <w:sz w:val="24"/>
                <w:szCs w:val="24"/>
              </w:rPr>
              <w:t>ВЛ</w:t>
            </w:r>
            <w:proofErr w:type="gramEnd"/>
            <w:r w:rsidRPr="00A43CE5">
              <w:rPr>
                <w:snapToGrid/>
                <w:sz w:val="24"/>
                <w:szCs w:val="24"/>
              </w:rPr>
              <w:t xml:space="preserve"> ПЗ-110-220 сеч. 25 </w:t>
            </w:r>
            <m:oMath>
              <m:sSup>
                <m:sSupPr>
                  <m:ctrlP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napToGrid/>
                  <w:sz w:val="24"/>
                  <w:szCs w:val="24"/>
                </w:rPr>
                <m:t xml:space="preserve">. </m:t>
              </m:r>
            </m:oMath>
            <w:r w:rsidRPr="00A43CE5">
              <w:rPr>
                <w:snapToGrid/>
                <w:sz w:val="24"/>
                <w:szCs w:val="24"/>
              </w:rPr>
              <w:t xml:space="preserve">Трехзвенная изолирующая штанга с фазным шарнирным пружинным зажимом и заземляющим спуском со струбциной. – Участником предложено Заземление переносное линейное ЗПЛ-220-3/3-25 сеч. 25 </w:t>
            </w:r>
            <m:oMath>
              <m:sSup>
                <m:sSupPr>
                  <m:ctrlP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napToGrid/>
                  <w:sz w:val="24"/>
                  <w:szCs w:val="24"/>
                </w:rPr>
                <m:t xml:space="preserve"> с </m:t>
              </m:r>
            </m:oMath>
            <w:r w:rsidRPr="00A43CE5">
              <w:rPr>
                <w:snapToGrid/>
                <w:sz w:val="24"/>
                <w:szCs w:val="24"/>
              </w:rPr>
              <w:t xml:space="preserve"> карданом. Контакт заземляемого провода с заземлением производится через зажим винтового типа. Заземляющая струбцина и фазные зажимы выполнены по конструкции винтового типа (сталь по стали).  </w:t>
            </w:r>
          </w:p>
          <w:p w:rsidR="00A43CE5" w:rsidRPr="00A43CE5" w:rsidRDefault="00A43CE5" w:rsidP="00A43CE5">
            <w:pPr>
              <w:numPr>
                <w:ilvl w:val="0"/>
                <w:numId w:val="32"/>
              </w:numPr>
              <w:tabs>
                <w:tab w:val="left" w:pos="0"/>
                <w:tab w:val="left" w:pos="667"/>
              </w:tabs>
              <w:spacing w:line="276" w:lineRule="auto"/>
              <w:ind w:left="0" w:firstLine="284"/>
              <w:contextualSpacing/>
              <w:rPr>
                <w:snapToGrid/>
                <w:sz w:val="24"/>
                <w:szCs w:val="24"/>
              </w:rPr>
            </w:pPr>
            <w:r w:rsidRPr="00A43CE5">
              <w:rPr>
                <w:snapToGrid/>
                <w:sz w:val="24"/>
                <w:szCs w:val="24"/>
              </w:rPr>
              <w:t xml:space="preserve">п.п.15. пункта 1.1., </w:t>
            </w:r>
            <w:proofErr w:type="spellStart"/>
            <w:r w:rsidRPr="00A43CE5">
              <w:rPr>
                <w:snapToGrid/>
                <w:sz w:val="24"/>
                <w:szCs w:val="24"/>
              </w:rPr>
              <w:t>п.п</w:t>
            </w:r>
            <w:proofErr w:type="spellEnd"/>
            <w:r w:rsidRPr="00A43CE5">
              <w:rPr>
                <w:snapToGrid/>
                <w:sz w:val="24"/>
                <w:szCs w:val="24"/>
              </w:rPr>
              <w:t xml:space="preserve">. 15. п.1.2. Заземление переносное для </w:t>
            </w:r>
            <w:proofErr w:type="gramStart"/>
            <w:r w:rsidRPr="00A43CE5">
              <w:rPr>
                <w:snapToGrid/>
                <w:sz w:val="24"/>
                <w:szCs w:val="24"/>
              </w:rPr>
              <w:t>ВЛ</w:t>
            </w:r>
            <w:proofErr w:type="gramEnd"/>
            <w:r w:rsidRPr="00A43CE5">
              <w:rPr>
                <w:snapToGrid/>
                <w:sz w:val="24"/>
                <w:szCs w:val="24"/>
              </w:rPr>
              <w:t xml:space="preserve"> ЗПЛ-1 сеч. 16 </w:t>
            </w:r>
            <m:oMath>
              <m:sSup>
                <m:sSupPr>
                  <m:ctrlP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napToGrid/>
                  <w:sz w:val="24"/>
                  <w:szCs w:val="24"/>
                </w:rPr>
                <m:t xml:space="preserve">. </m:t>
              </m:r>
            </m:oMath>
            <w:r w:rsidRPr="00A43CE5">
              <w:rPr>
                <w:snapToGrid/>
                <w:sz w:val="24"/>
                <w:szCs w:val="24"/>
              </w:rPr>
              <w:t xml:space="preserve">Заземление состоит из пяти стальных, пружинящих зажимов (прищепочного типа). – Участником предложено Заземление переносное линейное ЗПЛ-1-5/5-16 сеч. 16 </w:t>
            </w:r>
            <m:oMath>
              <m:sSup>
                <m:sSupPr>
                  <m:ctrlP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napToGrid/>
                  <w:sz w:val="24"/>
                  <w:szCs w:val="24"/>
                </w:rPr>
                <m:t xml:space="preserve">. </m:t>
              </m:r>
            </m:oMath>
            <w:r w:rsidRPr="00A43CE5">
              <w:rPr>
                <w:snapToGrid/>
                <w:sz w:val="24"/>
                <w:szCs w:val="24"/>
              </w:rPr>
              <w:t xml:space="preserve"> Контакт заземляемого провода с заземлением производится через зажим винтового типа. Заземляющая струбцина и фазные зажимы выполнены по конструкции винтового типа (сталь по стали).  </w:t>
            </w:r>
          </w:p>
          <w:p w:rsidR="00A43CE5" w:rsidRPr="00A43CE5" w:rsidRDefault="00A43CE5" w:rsidP="00A43CE5">
            <w:pPr>
              <w:numPr>
                <w:ilvl w:val="0"/>
                <w:numId w:val="32"/>
              </w:numPr>
              <w:tabs>
                <w:tab w:val="left" w:pos="0"/>
                <w:tab w:val="left" w:pos="667"/>
              </w:tabs>
              <w:spacing w:line="276" w:lineRule="auto"/>
              <w:ind w:left="0" w:firstLine="284"/>
              <w:contextualSpacing/>
              <w:rPr>
                <w:snapToGrid/>
                <w:sz w:val="24"/>
                <w:szCs w:val="24"/>
              </w:rPr>
            </w:pPr>
            <w:r w:rsidRPr="00A43CE5">
              <w:rPr>
                <w:snapToGrid/>
                <w:sz w:val="24"/>
                <w:szCs w:val="24"/>
              </w:rPr>
              <w:t xml:space="preserve">п.п.16. п.1.1., </w:t>
            </w:r>
            <w:proofErr w:type="spellStart"/>
            <w:r w:rsidRPr="00A43CE5">
              <w:rPr>
                <w:snapToGrid/>
                <w:sz w:val="24"/>
                <w:szCs w:val="24"/>
              </w:rPr>
              <w:t>п.п</w:t>
            </w:r>
            <w:proofErr w:type="spellEnd"/>
            <w:r w:rsidRPr="00A43CE5">
              <w:rPr>
                <w:snapToGrid/>
                <w:sz w:val="24"/>
                <w:szCs w:val="24"/>
              </w:rPr>
              <w:t xml:space="preserve">. 17. п.1.2. Заземление переносное для </w:t>
            </w:r>
            <w:proofErr w:type="gramStart"/>
            <w:r w:rsidRPr="00A43CE5">
              <w:rPr>
                <w:snapToGrid/>
                <w:sz w:val="24"/>
                <w:szCs w:val="24"/>
              </w:rPr>
              <w:t>ВЛ</w:t>
            </w:r>
            <w:proofErr w:type="gramEnd"/>
            <w:r w:rsidRPr="00A43CE5">
              <w:rPr>
                <w:snapToGrid/>
                <w:sz w:val="24"/>
                <w:szCs w:val="24"/>
              </w:rPr>
              <w:t xml:space="preserve"> ЗПЛ-ПТР-15 сеч. 25 </w:t>
            </w:r>
            <m:oMath>
              <m:sSup>
                <m:sSupPr>
                  <m:ctrlP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napToGrid/>
                  <w:sz w:val="24"/>
                  <w:szCs w:val="24"/>
                </w:rPr>
                <m:t xml:space="preserve"> </m:t>
              </m:r>
            </m:oMath>
            <w:r w:rsidRPr="00A43CE5">
              <w:rPr>
                <w:snapToGrid/>
                <w:sz w:val="24"/>
                <w:szCs w:val="24"/>
              </w:rPr>
              <w:t xml:space="preserve"> (пружинный зажим, шарнирный). Пружинные зажимы. </w:t>
            </w:r>
            <w:proofErr w:type="gramStart"/>
            <w:r w:rsidRPr="00A43CE5">
              <w:rPr>
                <w:snapToGrid/>
                <w:sz w:val="24"/>
                <w:szCs w:val="24"/>
              </w:rPr>
              <w:t>Трехфазное</w:t>
            </w:r>
            <w:proofErr w:type="gramEnd"/>
            <w:r w:rsidRPr="00A43CE5">
              <w:rPr>
                <w:snapToGrid/>
                <w:sz w:val="24"/>
                <w:szCs w:val="24"/>
              </w:rPr>
              <w:t xml:space="preserve"> с тремя штангами. – Участником предложено Заземление переносное линейное ЗПЛ-10-3/3-25 сеч. 25 </w:t>
            </w:r>
            <m:oMath>
              <m:sSup>
                <m:sSupPr>
                  <m:ctrlP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  <w:snapToGrid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napToGrid/>
                  <w:sz w:val="24"/>
                  <w:szCs w:val="24"/>
                </w:rPr>
                <m:t xml:space="preserve"> с </m:t>
              </m:r>
            </m:oMath>
            <w:r w:rsidRPr="00A43CE5">
              <w:rPr>
                <w:snapToGrid/>
                <w:sz w:val="24"/>
                <w:szCs w:val="24"/>
              </w:rPr>
              <w:t xml:space="preserve"> карданом. Контакт заземляемого провода с заземлением производится через зажим винтового типа. Заземляющая струбцина и фазные зажимы выполнены по конструкции винтового типа (сталь по стали).  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A43CE5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A43CE5" w:rsidRPr="00A43CE5" w:rsidRDefault="00A43CE5" w:rsidP="00A43CE5">
      <w:pPr>
        <w:tabs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6"/>
          <w:szCs w:val="26"/>
        </w:rPr>
      </w:pPr>
      <w:r w:rsidRPr="00A43CE5">
        <w:rPr>
          <w:snapToGrid/>
          <w:sz w:val="26"/>
          <w:szCs w:val="26"/>
        </w:rPr>
        <w:t xml:space="preserve">Признать заявки </w:t>
      </w:r>
      <w:r w:rsidRPr="00A43CE5">
        <w:rPr>
          <w:b/>
          <w:i/>
          <w:snapToGrid/>
          <w:sz w:val="26"/>
          <w:szCs w:val="26"/>
        </w:rPr>
        <w:t>ООО "</w:t>
      </w:r>
      <w:proofErr w:type="spellStart"/>
      <w:r w:rsidRPr="00A43CE5">
        <w:rPr>
          <w:b/>
          <w:i/>
          <w:snapToGrid/>
          <w:sz w:val="26"/>
          <w:szCs w:val="26"/>
        </w:rPr>
        <w:t>ЭнергоПромЗащита</w:t>
      </w:r>
      <w:proofErr w:type="spellEnd"/>
      <w:r w:rsidRPr="00A43CE5">
        <w:rPr>
          <w:b/>
          <w:i/>
          <w:snapToGrid/>
          <w:sz w:val="26"/>
          <w:szCs w:val="26"/>
        </w:rPr>
        <w:t>"</w:t>
      </w:r>
      <w:r w:rsidRPr="00A43CE5">
        <w:rPr>
          <w:snapToGrid/>
          <w:sz w:val="26"/>
          <w:szCs w:val="26"/>
        </w:rPr>
        <w:t xml:space="preserve"> (Республика Татарстан (Татарстан), г. Казань, </w:t>
      </w:r>
      <w:proofErr w:type="spellStart"/>
      <w:r w:rsidRPr="00A43CE5">
        <w:rPr>
          <w:snapToGrid/>
          <w:sz w:val="26"/>
          <w:szCs w:val="26"/>
        </w:rPr>
        <w:t>Вахитовский</w:t>
      </w:r>
      <w:proofErr w:type="spellEnd"/>
      <w:r w:rsidRPr="00A43CE5">
        <w:rPr>
          <w:snapToGrid/>
          <w:sz w:val="26"/>
          <w:szCs w:val="26"/>
        </w:rPr>
        <w:t xml:space="preserve"> р-н), </w:t>
      </w:r>
      <w:r w:rsidRPr="00A43CE5">
        <w:rPr>
          <w:b/>
          <w:i/>
          <w:snapToGrid/>
          <w:sz w:val="26"/>
          <w:szCs w:val="26"/>
        </w:rPr>
        <w:t>ООО ТД "ЭТО"</w:t>
      </w:r>
      <w:r w:rsidRPr="00A43CE5">
        <w:rPr>
          <w:snapToGrid/>
          <w:sz w:val="26"/>
          <w:szCs w:val="26"/>
        </w:rPr>
        <w:t xml:space="preserve"> (115230, г. Москва, Шоссе Каширское, д. 5, корп. 1) соответствующими условиям Документации о закупке и принять их к дальнейшему рассмотрению.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A43CE5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A43CE5" w:rsidRPr="00A43CE5" w:rsidRDefault="00A43CE5" w:rsidP="00A43CE5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CE5">
        <w:rPr>
          <w:snapToGrid/>
          <w:sz w:val="26"/>
          <w:szCs w:val="26"/>
        </w:rPr>
        <w:t xml:space="preserve">Утвердить </w:t>
      </w:r>
      <w:proofErr w:type="gramStart"/>
      <w:r w:rsidRPr="00A43CE5">
        <w:rPr>
          <w:snapToGrid/>
          <w:sz w:val="26"/>
          <w:szCs w:val="26"/>
        </w:rPr>
        <w:t>предварительную</w:t>
      </w:r>
      <w:proofErr w:type="gramEnd"/>
      <w:r w:rsidRPr="00A43CE5">
        <w:rPr>
          <w:snapToGrid/>
          <w:sz w:val="26"/>
          <w:szCs w:val="26"/>
        </w:rPr>
        <w:t xml:space="preserve"> </w:t>
      </w:r>
      <w:proofErr w:type="spellStart"/>
      <w:r w:rsidRPr="00A43CE5">
        <w:rPr>
          <w:snapToGrid/>
          <w:sz w:val="26"/>
          <w:szCs w:val="26"/>
        </w:rPr>
        <w:t>ранжировку</w:t>
      </w:r>
      <w:proofErr w:type="spellEnd"/>
      <w:r w:rsidRPr="00A43CE5">
        <w:rPr>
          <w:snapToGrid/>
          <w:sz w:val="26"/>
          <w:szCs w:val="26"/>
        </w:rPr>
        <w:t xml:space="preserve"> заявок: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410"/>
        <w:gridCol w:w="1844"/>
      </w:tblGrid>
      <w:tr w:rsidR="00A43CE5" w:rsidRPr="00A43CE5" w:rsidTr="00E462E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CE5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43CE5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43CE5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43CE5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CE5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CE5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CE5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43CE5" w:rsidRPr="00A43CE5" w:rsidTr="00E462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5" w:rsidRPr="00A43CE5" w:rsidRDefault="00A43CE5" w:rsidP="00A43CE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43CE5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43CE5">
              <w:rPr>
                <w:b/>
                <w:i/>
                <w:snapToGrid/>
                <w:sz w:val="24"/>
                <w:szCs w:val="24"/>
              </w:rPr>
              <w:t>ЭнергоПромЗащита</w:t>
            </w:r>
            <w:proofErr w:type="spellEnd"/>
            <w:r w:rsidRPr="00A43CE5">
              <w:rPr>
                <w:b/>
                <w:i/>
                <w:snapToGrid/>
                <w:sz w:val="24"/>
                <w:szCs w:val="24"/>
              </w:rPr>
              <w:t>"</w:t>
            </w:r>
            <w:r w:rsidRPr="00A43CE5">
              <w:rPr>
                <w:snapToGrid/>
                <w:sz w:val="24"/>
                <w:szCs w:val="24"/>
              </w:rPr>
              <w:t xml:space="preserve"> (Республика Татарстан (Татарстан), г. Казань, </w:t>
            </w:r>
            <w:proofErr w:type="spellStart"/>
            <w:r w:rsidRPr="00A43CE5">
              <w:rPr>
                <w:snapToGrid/>
                <w:sz w:val="24"/>
                <w:szCs w:val="24"/>
              </w:rPr>
              <w:t>Вахитовский</w:t>
            </w:r>
            <w:proofErr w:type="spellEnd"/>
            <w:r w:rsidRPr="00A43CE5">
              <w:rPr>
                <w:snapToGrid/>
                <w:sz w:val="24"/>
                <w:szCs w:val="24"/>
              </w:rPr>
              <w:t xml:space="preserve"> р-н)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5" w:rsidRPr="00A43CE5" w:rsidRDefault="00A43CE5" w:rsidP="00A43CE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1 686 078,84 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5" w:rsidRPr="00A43CE5" w:rsidRDefault="00A43CE5" w:rsidP="00A43CE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A43CE5" w:rsidRPr="00A43CE5" w:rsidTr="00E462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5" w:rsidRPr="00A43CE5" w:rsidRDefault="00A43CE5" w:rsidP="00A43CE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43CE5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5" w:rsidRPr="00A43CE5" w:rsidRDefault="00A43CE5" w:rsidP="00A43C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ТД "ЭТО"</w:t>
            </w:r>
            <w:r w:rsidRPr="00A43CE5">
              <w:rPr>
                <w:snapToGrid/>
                <w:sz w:val="24"/>
                <w:szCs w:val="24"/>
              </w:rPr>
              <w:t xml:space="preserve"> (115230, г. Москва, Шоссе Каширское, д. 5, корп.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5" w:rsidRPr="00A43CE5" w:rsidRDefault="00A43CE5" w:rsidP="00A43CE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1 779 886,00 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E5" w:rsidRPr="00A43CE5" w:rsidRDefault="00A43CE5" w:rsidP="00A43CE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C878A9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C878A9" w:rsidRPr="00C878A9" w:rsidRDefault="00C878A9" w:rsidP="00C878A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878A9">
        <w:rPr>
          <w:snapToGrid/>
          <w:sz w:val="26"/>
          <w:szCs w:val="26"/>
        </w:rPr>
        <w:t xml:space="preserve">Провести переторжку. </w:t>
      </w:r>
    </w:p>
    <w:p w:rsidR="00C878A9" w:rsidRPr="00C878A9" w:rsidRDefault="00C878A9" w:rsidP="00C878A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C878A9">
        <w:rPr>
          <w:sz w:val="26"/>
          <w:szCs w:val="26"/>
        </w:rPr>
        <w:t xml:space="preserve">Допустить к </w:t>
      </w:r>
      <w:r w:rsidRPr="00C878A9">
        <w:rPr>
          <w:snapToGrid/>
          <w:sz w:val="26"/>
          <w:szCs w:val="26"/>
        </w:rPr>
        <w:t>участию</w:t>
      </w:r>
      <w:r w:rsidRPr="00C878A9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C878A9">
        <w:rPr>
          <w:b/>
          <w:i/>
          <w:snapToGrid/>
          <w:sz w:val="26"/>
          <w:szCs w:val="26"/>
        </w:rPr>
        <w:t>ООО "</w:t>
      </w:r>
      <w:proofErr w:type="spellStart"/>
      <w:r w:rsidRPr="00C878A9">
        <w:rPr>
          <w:b/>
          <w:i/>
          <w:snapToGrid/>
          <w:sz w:val="26"/>
          <w:szCs w:val="26"/>
        </w:rPr>
        <w:t>ЭнергоПромЗащита</w:t>
      </w:r>
      <w:proofErr w:type="spellEnd"/>
      <w:r w:rsidRPr="00C878A9">
        <w:rPr>
          <w:b/>
          <w:i/>
          <w:snapToGrid/>
          <w:sz w:val="26"/>
          <w:szCs w:val="26"/>
        </w:rPr>
        <w:t>"</w:t>
      </w:r>
      <w:r w:rsidRPr="00C878A9">
        <w:rPr>
          <w:snapToGrid/>
          <w:sz w:val="26"/>
          <w:szCs w:val="26"/>
        </w:rPr>
        <w:t xml:space="preserve"> (Республика Татарстан (Татарстан), г. Казань, </w:t>
      </w:r>
      <w:proofErr w:type="spellStart"/>
      <w:r w:rsidRPr="00C878A9">
        <w:rPr>
          <w:snapToGrid/>
          <w:sz w:val="26"/>
          <w:szCs w:val="26"/>
        </w:rPr>
        <w:t>Вахитовский</w:t>
      </w:r>
      <w:proofErr w:type="spellEnd"/>
      <w:r w:rsidRPr="00C878A9">
        <w:rPr>
          <w:snapToGrid/>
          <w:sz w:val="26"/>
          <w:szCs w:val="26"/>
        </w:rPr>
        <w:t xml:space="preserve"> р-н), </w:t>
      </w:r>
      <w:r w:rsidRPr="00C878A9">
        <w:rPr>
          <w:b/>
          <w:i/>
          <w:snapToGrid/>
          <w:sz w:val="26"/>
          <w:szCs w:val="26"/>
        </w:rPr>
        <w:t>ООО ТД "ЭТО"</w:t>
      </w:r>
      <w:r w:rsidRPr="00C878A9">
        <w:rPr>
          <w:snapToGrid/>
          <w:sz w:val="26"/>
          <w:szCs w:val="26"/>
        </w:rPr>
        <w:t xml:space="preserve"> (115230, г. Москва, Шоссе Каширское, д. 5, корп. 1)</w:t>
      </w:r>
      <w:proofErr w:type="gramEnd"/>
    </w:p>
    <w:p w:rsidR="00C878A9" w:rsidRPr="00C878A9" w:rsidRDefault="00C878A9" w:rsidP="00C878A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878A9">
        <w:rPr>
          <w:sz w:val="26"/>
          <w:szCs w:val="26"/>
        </w:rPr>
        <w:t>Определить</w:t>
      </w:r>
      <w:r w:rsidRPr="00C878A9">
        <w:rPr>
          <w:snapToGrid/>
          <w:sz w:val="26"/>
          <w:szCs w:val="26"/>
        </w:rPr>
        <w:t xml:space="preserve"> форму переторжки: </w:t>
      </w:r>
      <w:proofErr w:type="gramStart"/>
      <w:r w:rsidRPr="00C878A9">
        <w:rPr>
          <w:snapToGrid/>
          <w:sz w:val="26"/>
          <w:szCs w:val="26"/>
        </w:rPr>
        <w:t>заочная</w:t>
      </w:r>
      <w:proofErr w:type="gramEnd"/>
      <w:r w:rsidRPr="00C878A9">
        <w:rPr>
          <w:snapToGrid/>
          <w:sz w:val="26"/>
          <w:szCs w:val="26"/>
        </w:rPr>
        <w:t>.</w:t>
      </w:r>
    </w:p>
    <w:p w:rsidR="00C878A9" w:rsidRPr="00C878A9" w:rsidRDefault="00C878A9" w:rsidP="00C878A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878A9">
        <w:rPr>
          <w:sz w:val="26"/>
          <w:szCs w:val="26"/>
        </w:rPr>
        <w:lastRenderedPageBreak/>
        <w:t>Назначить</w:t>
      </w:r>
      <w:r w:rsidRPr="00C878A9">
        <w:rPr>
          <w:snapToGrid/>
          <w:sz w:val="26"/>
          <w:szCs w:val="26"/>
        </w:rPr>
        <w:t xml:space="preserve"> переторжку на 2</w:t>
      </w:r>
      <w:r w:rsidR="00536E80">
        <w:rPr>
          <w:snapToGrid/>
          <w:sz w:val="26"/>
          <w:szCs w:val="26"/>
        </w:rPr>
        <w:t>8</w:t>
      </w:r>
      <w:r w:rsidRPr="00C878A9">
        <w:rPr>
          <w:snapToGrid/>
          <w:sz w:val="26"/>
          <w:szCs w:val="26"/>
        </w:rPr>
        <w:t>.07.2016 в 15:00 час</w:t>
      </w:r>
      <w:proofErr w:type="gramStart"/>
      <w:r w:rsidRPr="00C878A9">
        <w:rPr>
          <w:snapToGrid/>
          <w:sz w:val="26"/>
          <w:szCs w:val="26"/>
        </w:rPr>
        <w:t>.</w:t>
      </w:r>
      <w:proofErr w:type="gramEnd"/>
      <w:r w:rsidRPr="00C878A9">
        <w:rPr>
          <w:snapToGrid/>
          <w:sz w:val="26"/>
          <w:szCs w:val="26"/>
        </w:rPr>
        <w:t xml:space="preserve"> (</w:t>
      </w:r>
      <w:proofErr w:type="gramStart"/>
      <w:r w:rsidRPr="00C878A9">
        <w:rPr>
          <w:snapToGrid/>
          <w:sz w:val="26"/>
          <w:szCs w:val="26"/>
        </w:rPr>
        <w:t>б</w:t>
      </w:r>
      <w:proofErr w:type="gramEnd"/>
      <w:r w:rsidRPr="00C878A9">
        <w:rPr>
          <w:snapToGrid/>
          <w:sz w:val="26"/>
          <w:szCs w:val="26"/>
        </w:rPr>
        <w:t>лаговещенского времени).</w:t>
      </w:r>
    </w:p>
    <w:p w:rsidR="00C878A9" w:rsidRPr="00C878A9" w:rsidRDefault="00C878A9" w:rsidP="00C878A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878A9">
        <w:rPr>
          <w:sz w:val="26"/>
          <w:szCs w:val="26"/>
        </w:rPr>
        <w:t>Место</w:t>
      </w:r>
      <w:r w:rsidRPr="00C878A9">
        <w:rPr>
          <w:snapToGrid/>
          <w:sz w:val="26"/>
          <w:szCs w:val="26"/>
        </w:rPr>
        <w:t xml:space="preserve"> проведения переторжки: ЭТП </w:t>
      </w:r>
      <w:r w:rsidRPr="00C878A9">
        <w:rPr>
          <w:snapToGrid/>
          <w:sz w:val="26"/>
          <w:szCs w:val="26"/>
          <w:lang w:val="en-US"/>
        </w:rPr>
        <w:t>b</w:t>
      </w:r>
      <w:r w:rsidRPr="00C878A9">
        <w:rPr>
          <w:snapToGrid/>
          <w:sz w:val="26"/>
          <w:szCs w:val="26"/>
        </w:rPr>
        <w:t>2</w:t>
      </w:r>
      <w:r w:rsidRPr="00C878A9">
        <w:rPr>
          <w:snapToGrid/>
          <w:sz w:val="26"/>
          <w:szCs w:val="26"/>
          <w:lang w:val="en-US"/>
        </w:rPr>
        <w:t>b</w:t>
      </w:r>
      <w:r w:rsidRPr="00C878A9">
        <w:rPr>
          <w:snapToGrid/>
          <w:sz w:val="26"/>
          <w:szCs w:val="26"/>
        </w:rPr>
        <w:t>-</w:t>
      </w:r>
      <w:proofErr w:type="spellStart"/>
      <w:r w:rsidRPr="00C878A9">
        <w:rPr>
          <w:snapToGrid/>
          <w:sz w:val="26"/>
          <w:szCs w:val="26"/>
          <w:lang w:val="en-US"/>
        </w:rPr>
        <w:t>energo</w:t>
      </w:r>
      <w:proofErr w:type="spellEnd"/>
    </w:p>
    <w:p w:rsidR="00C878A9" w:rsidRPr="00C878A9" w:rsidRDefault="00C878A9" w:rsidP="00C878A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C878A9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C878A9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>Исп.</w:t>
      </w:r>
      <w:r w:rsidR="00A002C5">
        <w:rPr>
          <w:b/>
          <w:sz w:val="24"/>
        </w:rPr>
        <w:t xml:space="preserve"> </w:t>
      </w:r>
      <w:r>
        <w:rPr>
          <w:b/>
          <w:sz w:val="24"/>
        </w:rPr>
        <w:t>Ирдуганова И.Н.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</w:t>
      </w:r>
      <w:r w:rsidR="00C878A9">
        <w:rPr>
          <w:sz w:val="24"/>
        </w:rPr>
        <w:t xml:space="preserve"> 147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5F" w:rsidRDefault="004E595F" w:rsidP="00355095">
      <w:pPr>
        <w:spacing w:line="240" w:lineRule="auto"/>
      </w:pPr>
      <w:r>
        <w:separator/>
      </w:r>
    </w:p>
  </w:endnote>
  <w:endnote w:type="continuationSeparator" w:id="0">
    <w:p w:rsidR="004E595F" w:rsidRDefault="004E59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E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E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5F" w:rsidRDefault="004E595F" w:rsidP="00355095">
      <w:pPr>
        <w:spacing w:line="240" w:lineRule="auto"/>
      </w:pPr>
      <w:r>
        <w:separator/>
      </w:r>
    </w:p>
  </w:footnote>
  <w:footnote w:type="continuationSeparator" w:id="0">
    <w:p w:rsidR="004E595F" w:rsidRDefault="004E59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E4921">
      <w:rPr>
        <w:i/>
        <w:sz w:val="20"/>
      </w:rPr>
      <w:t xml:space="preserve">1275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E4921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31045A"/>
    <w:multiLevelType w:val="hybridMultilevel"/>
    <w:tmpl w:val="30CA44B2"/>
    <w:lvl w:ilvl="0" w:tplc="B6CE94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59F8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595F"/>
    <w:rsid w:val="004F42F9"/>
    <w:rsid w:val="004F4866"/>
    <w:rsid w:val="00500A3F"/>
    <w:rsid w:val="005132A1"/>
    <w:rsid w:val="00515B98"/>
    <w:rsid w:val="00515CBE"/>
    <w:rsid w:val="00526FD4"/>
    <w:rsid w:val="00535034"/>
    <w:rsid w:val="00536E8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492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CE5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1D63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D56F2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78A9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2739-133E-400D-B3F3-032D94EC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2016-07-22T07:14:00Z</cp:lastPrinted>
  <dcterms:created xsi:type="dcterms:W3CDTF">2015-01-16T07:03:00Z</dcterms:created>
  <dcterms:modified xsi:type="dcterms:W3CDTF">2016-07-26T02:55:00Z</dcterms:modified>
</cp:coreProperties>
</file>