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C2F81">
        <w:rPr>
          <w:bCs/>
          <w:caps/>
          <w:sz w:val="36"/>
          <w:szCs w:val="36"/>
        </w:rPr>
        <w:t>600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9C2F81" w:rsidRPr="007F39AB" w:rsidRDefault="009C2F81" w:rsidP="00A55E1F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7F39AB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7F39AB">
        <w:rPr>
          <w:b/>
          <w:i/>
          <w:sz w:val="26"/>
          <w:szCs w:val="26"/>
        </w:rPr>
        <w:t>ВЛ</w:t>
      </w:r>
      <w:proofErr w:type="gramEnd"/>
      <w:r w:rsidRPr="007F39AB">
        <w:rPr>
          <w:b/>
          <w:i/>
          <w:sz w:val="26"/>
          <w:szCs w:val="26"/>
        </w:rPr>
        <w:t xml:space="preserve"> 6-10 </w:t>
      </w:r>
      <w:proofErr w:type="spellStart"/>
      <w:r w:rsidRPr="007F39AB">
        <w:rPr>
          <w:b/>
          <w:i/>
          <w:sz w:val="26"/>
          <w:szCs w:val="26"/>
        </w:rPr>
        <w:t>кВ</w:t>
      </w:r>
      <w:proofErr w:type="spellEnd"/>
      <w:r w:rsidRPr="007F39AB">
        <w:rPr>
          <w:b/>
          <w:i/>
          <w:sz w:val="26"/>
          <w:szCs w:val="26"/>
        </w:rPr>
        <w:t>» филиала ЭС</w:t>
      </w:r>
      <w:r>
        <w:rPr>
          <w:b/>
          <w:i/>
          <w:sz w:val="26"/>
          <w:szCs w:val="26"/>
        </w:rPr>
        <w:t xml:space="preserve"> ЕАО</w:t>
      </w:r>
    </w:p>
    <w:p w:rsidR="009C2F81" w:rsidRPr="00050698" w:rsidRDefault="009C2F81" w:rsidP="009C2F8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1051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F3469"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C2F81" w:rsidRDefault="009C2F81" w:rsidP="009C2F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C2F81" w:rsidRPr="00F943FC" w:rsidRDefault="009C2F81" w:rsidP="009C2F8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C2F81" w:rsidRPr="00F943FC" w:rsidRDefault="009C2F81" w:rsidP="009C2F8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2"/>
      </w:tblGrid>
      <w:tr w:rsidR="009C2F81" w:rsidRPr="007B572C" w:rsidTr="00A55E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B572C">
              <w:rPr>
                <w:sz w:val="24"/>
                <w:szCs w:val="24"/>
              </w:rPr>
              <w:t>запросе</w:t>
            </w:r>
            <w:proofErr w:type="gramEnd"/>
            <w:r w:rsidRPr="007B572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C2F81" w:rsidRPr="007B572C" w:rsidTr="00A55E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"ЭТК </w:t>
            </w:r>
            <w:proofErr w:type="spellStart"/>
            <w:r w:rsidRPr="007B572C">
              <w:rPr>
                <w:sz w:val="24"/>
                <w:szCs w:val="24"/>
              </w:rPr>
              <w:t>Энерготранс</w:t>
            </w:r>
            <w:proofErr w:type="spellEnd"/>
            <w:r w:rsidRPr="007B572C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B572C">
              <w:rPr>
                <w:sz w:val="24"/>
                <w:szCs w:val="24"/>
              </w:rPr>
              <w:t>Трехгорная</w:t>
            </w:r>
            <w:proofErr w:type="gramEnd"/>
            <w:r w:rsidRPr="007B572C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Заявка: согласно ТЗ, подана 28.06.2016 в 09:39</w:t>
            </w:r>
            <w:r w:rsidRPr="007B572C">
              <w:rPr>
                <w:sz w:val="24"/>
                <w:szCs w:val="24"/>
              </w:rPr>
              <w:br/>
              <w:t xml:space="preserve">Цена: 6 003 840,00 руб. (цена без НДС: </w:t>
            </w:r>
            <w:r w:rsidRPr="007B572C">
              <w:rPr>
                <w:b/>
                <w:sz w:val="24"/>
                <w:szCs w:val="24"/>
              </w:rPr>
              <w:t>5 088 000,00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9C2F81" w:rsidRPr="007B572C" w:rsidTr="00A55E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B572C">
              <w:rPr>
                <w:sz w:val="24"/>
                <w:szCs w:val="24"/>
              </w:rPr>
              <w:t>пр-кт</w:t>
            </w:r>
            <w:proofErr w:type="spellEnd"/>
            <w:r w:rsidRPr="007B572C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Заявка, подана 28.06.2016 в 09:16</w:t>
            </w:r>
            <w:r w:rsidRPr="007B572C">
              <w:rPr>
                <w:sz w:val="24"/>
                <w:szCs w:val="24"/>
              </w:rPr>
              <w:br/>
              <w:t xml:space="preserve">Цена: 6 006 200,00 руб. (цена без НДС: </w:t>
            </w:r>
            <w:r w:rsidRPr="007B572C">
              <w:rPr>
                <w:b/>
                <w:sz w:val="24"/>
                <w:szCs w:val="24"/>
              </w:rPr>
              <w:t>5 090 000,00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9C2F81" w:rsidRPr="007B572C" w:rsidTr="00A55E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B572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7B572C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Заявка, подана 28.06.2016 в 08:33</w:t>
            </w:r>
            <w:r w:rsidRPr="007B572C">
              <w:rPr>
                <w:sz w:val="24"/>
                <w:szCs w:val="24"/>
              </w:rPr>
              <w:br/>
              <w:t xml:space="preserve">Цена: 6 035 700,00 руб. (цена без НДС: </w:t>
            </w:r>
            <w:r w:rsidRPr="007B572C">
              <w:rPr>
                <w:b/>
                <w:sz w:val="24"/>
                <w:szCs w:val="24"/>
              </w:rPr>
              <w:t>5 115 000,00 </w:t>
            </w:r>
            <w:r w:rsidRPr="007B572C">
              <w:rPr>
                <w:sz w:val="24"/>
                <w:szCs w:val="24"/>
              </w:rPr>
              <w:t>руб.)</w:t>
            </w:r>
          </w:p>
        </w:tc>
      </w:tr>
      <w:tr w:rsidR="009C2F81" w:rsidRPr="007B572C" w:rsidTr="00A55E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 w:rsidRPr="007B572C">
              <w:rPr>
                <w:sz w:val="24"/>
                <w:szCs w:val="24"/>
              </w:rPr>
              <w:t>Сельэлектрострой</w:t>
            </w:r>
            <w:proofErr w:type="spellEnd"/>
            <w:r w:rsidRPr="007B572C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Заявка, подана 28.06.2016 в 08:06</w:t>
            </w:r>
            <w:r w:rsidRPr="007B572C">
              <w:rPr>
                <w:sz w:val="24"/>
                <w:szCs w:val="24"/>
              </w:rPr>
              <w:br/>
              <w:t xml:space="preserve">Цена: 6 041 600,00 руб. (цена без НДС: </w:t>
            </w:r>
            <w:r w:rsidRPr="007B572C">
              <w:rPr>
                <w:b/>
                <w:sz w:val="24"/>
                <w:szCs w:val="24"/>
              </w:rPr>
              <w:t>5 120 000,00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9C2F81" w:rsidRPr="007B572C" w:rsidTr="00A55E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B572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Заявка, подана 28.06.2016 в 07:55</w:t>
            </w:r>
            <w:r w:rsidRPr="007B572C">
              <w:rPr>
                <w:sz w:val="24"/>
                <w:szCs w:val="24"/>
              </w:rPr>
              <w:br/>
              <w:t xml:space="preserve">Цена: 6 077 590,00 руб. (цена без НДС: </w:t>
            </w:r>
            <w:r w:rsidRPr="007B572C">
              <w:rPr>
                <w:b/>
                <w:sz w:val="24"/>
                <w:szCs w:val="24"/>
              </w:rPr>
              <w:t>5 150 500,00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</w:tbl>
    <w:p w:rsidR="009C2F81" w:rsidRDefault="009C2F81" w:rsidP="009C2F81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9C2F81" w:rsidRDefault="009C2F81" w:rsidP="009C2F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C2F81" w:rsidRPr="00F943FC" w:rsidRDefault="009C2F81" w:rsidP="009C2F81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Признать </w:t>
      </w:r>
      <w:r w:rsidRPr="007B572C">
        <w:rPr>
          <w:sz w:val="24"/>
          <w:szCs w:val="24"/>
        </w:rPr>
        <w:t xml:space="preserve">ООО "ЭТК </w:t>
      </w:r>
      <w:proofErr w:type="spellStart"/>
      <w:r w:rsidRPr="007B572C">
        <w:rPr>
          <w:sz w:val="24"/>
          <w:szCs w:val="24"/>
        </w:rPr>
        <w:t>Энерготранс</w:t>
      </w:r>
      <w:proofErr w:type="spellEnd"/>
      <w:r w:rsidRPr="007B572C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, </w:t>
      </w:r>
      <w:r w:rsidRPr="007B572C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7B572C">
        <w:rPr>
          <w:sz w:val="24"/>
          <w:szCs w:val="24"/>
        </w:rPr>
        <w:t>пр-кт</w:t>
      </w:r>
      <w:proofErr w:type="spellEnd"/>
      <w:r w:rsidRPr="007B572C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7B572C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7B572C">
        <w:rPr>
          <w:sz w:val="24"/>
          <w:szCs w:val="24"/>
        </w:rPr>
        <w:t>ул</w:t>
      </w:r>
      <w:proofErr w:type="spellEnd"/>
      <w:proofErr w:type="gramEnd"/>
      <w:r w:rsidRPr="007B572C">
        <w:rPr>
          <w:sz w:val="24"/>
          <w:szCs w:val="24"/>
        </w:rPr>
        <w:t xml:space="preserve"> Миллера 8б)</w:t>
      </w:r>
      <w:r>
        <w:rPr>
          <w:sz w:val="24"/>
          <w:szCs w:val="24"/>
        </w:rPr>
        <w:t xml:space="preserve">, </w:t>
      </w:r>
      <w:r w:rsidRPr="007B572C">
        <w:rPr>
          <w:sz w:val="24"/>
          <w:szCs w:val="24"/>
        </w:rPr>
        <w:t>ООО "</w:t>
      </w:r>
      <w:proofErr w:type="spellStart"/>
      <w:r w:rsidRPr="007B572C">
        <w:rPr>
          <w:sz w:val="24"/>
          <w:szCs w:val="24"/>
        </w:rPr>
        <w:t>Сельэлектрострой</w:t>
      </w:r>
      <w:proofErr w:type="spellEnd"/>
      <w:r w:rsidRPr="007B572C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7B572C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 </w:t>
      </w:r>
      <w:proofErr w:type="gramStart"/>
      <w:r w:rsidRPr="00F943FC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9C2F81" w:rsidRDefault="009C2F81" w:rsidP="009C2F8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9C2F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C2F81" w:rsidRPr="00F943FC" w:rsidRDefault="009C2F81" w:rsidP="009C2F8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9C2F81" w:rsidRPr="00A967F1" w:rsidTr="00A55E1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81" w:rsidRPr="00A967F1" w:rsidRDefault="009C2F81" w:rsidP="00A55E1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81" w:rsidRPr="00A967F1" w:rsidRDefault="009C2F81" w:rsidP="00A55E1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81" w:rsidRPr="00A967F1" w:rsidRDefault="009C2F81" w:rsidP="00A55E1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81" w:rsidRPr="00A967F1" w:rsidRDefault="009C2F81" w:rsidP="00A55E1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C2F81" w:rsidRPr="00A967F1" w:rsidTr="00A55E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A967F1" w:rsidRDefault="009C2F81" w:rsidP="00A55E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B572C">
              <w:rPr>
                <w:sz w:val="24"/>
                <w:szCs w:val="24"/>
              </w:rPr>
              <w:t>пр-кт</w:t>
            </w:r>
            <w:proofErr w:type="spellEnd"/>
            <w:r w:rsidRPr="007B572C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6 006 200,00 руб. (цена без НДС: </w:t>
            </w:r>
            <w:r w:rsidRPr="007B572C">
              <w:rPr>
                <w:b/>
                <w:sz w:val="24"/>
                <w:szCs w:val="24"/>
              </w:rPr>
              <w:t>5 090 000,00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Default="009C2F81" w:rsidP="00A55E1F">
            <w:pPr>
              <w:ind w:firstLine="0"/>
              <w:jc w:val="center"/>
            </w:pPr>
            <w:r w:rsidRPr="004B1EFE">
              <w:rPr>
                <w:b/>
                <w:i/>
                <w:sz w:val="24"/>
              </w:rPr>
              <w:t>3,70</w:t>
            </w:r>
          </w:p>
        </w:tc>
      </w:tr>
      <w:tr w:rsidR="009C2F81" w:rsidRPr="00A967F1" w:rsidTr="00A55E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Default="009C2F81" w:rsidP="00A55E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B572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7B572C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6 035 700,00 руб. (цена без НДС: </w:t>
            </w:r>
            <w:r w:rsidRPr="007B572C">
              <w:rPr>
                <w:b/>
                <w:sz w:val="24"/>
                <w:szCs w:val="24"/>
              </w:rPr>
              <w:t>5 115 000,00 </w:t>
            </w:r>
            <w:r w:rsidRPr="007B572C">
              <w:rPr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Default="009C2F81" w:rsidP="00A55E1F">
            <w:pPr>
              <w:ind w:firstLine="0"/>
              <w:jc w:val="center"/>
            </w:pPr>
            <w:r w:rsidRPr="004B1EFE">
              <w:rPr>
                <w:b/>
                <w:i/>
                <w:sz w:val="24"/>
              </w:rPr>
              <w:t>3,70</w:t>
            </w:r>
          </w:p>
        </w:tc>
      </w:tr>
      <w:tr w:rsidR="009C2F81" w:rsidRPr="00A967F1" w:rsidTr="00A55E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Default="009C2F81" w:rsidP="00A55E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 w:rsidRPr="007B572C">
              <w:rPr>
                <w:sz w:val="24"/>
                <w:szCs w:val="24"/>
              </w:rPr>
              <w:t>Сельэлектрострой</w:t>
            </w:r>
            <w:proofErr w:type="spellEnd"/>
            <w:r w:rsidRPr="007B572C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6 041 600,00 руб. (цена без НДС: </w:t>
            </w:r>
            <w:r w:rsidRPr="007B572C">
              <w:rPr>
                <w:b/>
                <w:sz w:val="24"/>
                <w:szCs w:val="24"/>
              </w:rPr>
              <w:t>5 120 000,00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Default="009C2F81" w:rsidP="00A55E1F">
            <w:pPr>
              <w:ind w:firstLine="0"/>
              <w:jc w:val="center"/>
            </w:pPr>
            <w:r w:rsidRPr="004B1EFE">
              <w:rPr>
                <w:b/>
                <w:i/>
                <w:sz w:val="24"/>
              </w:rPr>
              <w:t>3,70</w:t>
            </w:r>
          </w:p>
        </w:tc>
      </w:tr>
      <w:tr w:rsidR="009C2F81" w:rsidRPr="00A967F1" w:rsidTr="00A55E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Default="009C2F81" w:rsidP="00A55E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B572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6 077 590,00 руб. (цена без НДС: </w:t>
            </w:r>
            <w:r w:rsidRPr="007B572C">
              <w:rPr>
                <w:b/>
                <w:sz w:val="24"/>
                <w:szCs w:val="24"/>
              </w:rPr>
              <w:t>5 150 500,00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Default="009C2F81" w:rsidP="00A55E1F">
            <w:pPr>
              <w:ind w:firstLine="0"/>
              <w:jc w:val="center"/>
            </w:pPr>
            <w:r w:rsidRPr="004B1EFE">
              <w:rPr>
                <w:b/>
                <w:i/>
                <w:sz w:val="24"/>
              </w:rPr>
              <w:t>3,70</w:t>
            </w:r>
          </w:p>
        </w:tc>
      </w:tr>
      <w:tr w:rsidR="009C2F81" w:rsidRPr="00A967F1" w:rsidTr="00A55E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Default="009C2F81" w:rsidP="00A55E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"ЭТК </w:t>
            </w:r>
            <w:proofErr w:type="spellStart"/>
            <w:r w:rsidRPr="007B572C">
              <w:rPr>
                <w:sz w:val="24"/>
                <w:szCs w:val="24"/>
              </w:rPr>
              <w:t>Энерготранс</w:t>
            </w:r>
            <w:proofErr w:type="spellEnd"/>
            <w:r w:rsidRPr="007B572C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B572C">
              <w:rPr>
                <w:sz w:val="24"/>
                <w:szCs w:val="24"/>
              </w:rPr>
              <w:t>Трехгорная</w:t>
            </w:r>
            <w:proofErr w:type="gramEnd"/>
            <w:r w:rsidRPr="007B572C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Pr="007B572C" w:rsidRDefault="009C2F81" w:rsidP="00A55E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6 003 840,00 руб. (цена без НДС: </w:t>
            </w:r>
            <w:r w:rsidRPr="007B572C">
              <w:rPr>
                <w:b/>
                <w:sz w:val="24"/>
                <w:szCs w:val="24"/>
              </w:rPr>
              <w:t>5 088 000,00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1" w:rsidRDefault="009C2F81" w:rsidP="00A55E1F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3,30</w:t>
            </w:r>
          </w:p>
        </w:tc>
      </w:tr>
    </w:tbl>
    <w:p w:rsidR="009C2F81" w:rsidRDefault="009C2F81" w:rsidP="009C2F8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9C2F81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9C2F81" w:rsidRDefault="009C2F81" w:rsidP="009C2F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C2F81" w:rsidRPr="00E763D2" w:rsidRDefault="009C2F81" w:rsidP="009C2F8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9C2F81" w:rsidRPr="00E763D2" w:rsidRDefault="009C2F81" w:rsidP="009C2F8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7B572C">
        <w:rPr>
          <w:sz w:val="24"/>
          <w:szCs w:val="24"/>
        </w:rPr>
        <w:t xml:space="preserve">ООО "ЭТК </w:t>
      </w:r>
      <w:proofErr w:type="spellStart"/>
      <w:r w:rsidRPr="007B572C">
        <w:rPr>
          <w:sz w:val="24"/>
          <w:szCs w:val="24"/>
        </w:rPr>
        <w:t>Энерготранс</w:t>
      </w:r>
      <w:proofErr w:type="spellEnd"/>
      <w:r w:rsidRPr="007B572C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, </w:t>
      </w:r>
      <w:r w:rsidRPr="007B572C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7B572C">
        <w:rPr>
          <w:sz w:val="24"/>
          <w:szCs w:val="24"/>
        </w:rPr>
        <w:t>пр-кт</w:t>
      </w:r>
      <w:proofErr w:type="spellEnd"/>
      <w:r w:rsidRPr="007B572C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7B572C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7B572C">
        <w:rPr>
          <w:sz w:val="24"/>
          <w:szCs w:val="24"/>
        </w:rPr>
        <w:t>ул</w:t>
      </w:r>
      <w:proofErr w:type="spellEnd"/>
      <w:proofErr w:type="gramEnd"/>
      <w:r w:rsidRPr="007B572C">
        <w:rPr>
          <w:sz w:val="24"/>
          <w:szCs w:val="24"/>
        </w:rPr>
        <w:t xml:space="preserve"> Миллера 8б)</w:t>
      </w:r>
      <w:r>
        <w:rPr>
          <w:sz w:val="24"/>
          <w:szCs w:val="24"/>
        </w:rPr>
        <w:t xml:space="preserve">, </w:t>
      </w:r>
      <w:r w:rsidRPr="007B572C">
        <w:rPr>
          <w:sz w:val="24"/>
          <w:szCs w:val="24"/>
        </w:rPr>
        <w:t>ООО "</w:t>
      </w:r>
      <w:proofErr w:type="spellStart"/>
      <w:r w:rsidRPr="007B572C">
        <w:rPr>
          <w:sz w:val="24"/>
          <w:szCs w:val="24"/>
        </w:rPr>
        <w:t>Сельэлектрострой</w:t>
      </w:r>
      <w:proofErr w:type="spellEnd"/>
      <w:r w:rsidRPr="007B572C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7B572C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9C2F81" w:rsidRPr="00E763D2" w:rsidRDefault="009C2F81" w:rsidP="009C2F8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9C2F81" w:rsidRPr="00E763D2" w:rsidRDefault="009C2F81" w:rsidP="009C2F8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7057B5">
        <w:rPr>
          <w:color w:val="000000" w:themeColor="text1"/>
          <w:sz w:val="24"/>
          <w:szCs w:val="24"/>
        </w:rPr>
        <w:t>13</w:t>
      </w:r>
      <w:r>
        <w:rPr>
          <w:color w:val="000000" w:themeColor="text1"/>
          <w:sz w:val="24"/>
          <w:szCs w:val="24"/>
        </w:rPr>
        <w:t>.07.2016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9C2F81" w:rsidRPr="00E763D2" w:rsidRDefault="009C2F81" w:rsidP="009C2F8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9C2F81" w:rsidRPr="00E763D2" w:rsidRDefault="009C2F81" w:rsidP="009C2F8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5C" w:rsidRDefault="0071655C" w:rsidP="00355095">
      <w:pPr>
        <w:spacing w:line="240" w:lineRule="auto"/>
      </w:pPr>
      <w:r>
        <w:separator/>
      </w:r>
    </w:p>
  </w:endnote>
  <w:endnote w:type="continuationSeparator" w:id="0">
    <w:p w:rsidR="0071655C" w:rsidRDefault="007165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4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4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5C" w:rsidRDefault="0071655C" w:rsidP="00355095">
      <w:pPr>
        <w:spacing w:line="240" w:lineRule="auto"/>
      </w:pPr>
      <w:r>
        <w:separator/>
      </w:r>
    </w:p>
  </w:footnote>
  <w:footnote w:type="continuationSeparator" w:id="0">
    <w:p w:rsidR="0071655C" w:rsidRDefault="007165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C2F81">
      <w:rPr>
        <w:i/>
        <w:sz w:val="20"/>
      </w:rPr>
      <w:t xml:space="preserve">1051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2C42-CF91-41D2-92C5-73D7CA69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33</cp:revision>
  <cp:lastPrinted>2016-07-07T01:53:00Z</cp:lastPrinted>
  <dcterms:created xsi:type="dcterms:W3CDTF">2015-07-29T06:07:00Z</dcterms:created>
  <dcterms:modified xsi:type="dcterms:W3CDTF">2016-07-11T07:38:00Z</dcterms:modified>
</cp:coreProperties>
</file>