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bookmarkStart w:id="0" w:name="_GoBack"/>
      <w:bookmarkEnd w:id="0"/>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430B49">
        <w:rPr>
          <w:rFonts w:ascii="Times New Roman" w:hAnsi="Times New Roman" w:cs="Times New Roman"/>
          <w:i/>
          <w:iCs/>
          <w:sz w:val="24"/>
          <w:szCs w:val="24"/>
        </w:rPr>
        <w:t>реконструкции</w:t>
      </w:r>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 xml:space="preserve">распределительные сети 6/10/0,4 </w:t>
      </w:r>
      <w:proofErr w:type="spellStart"/>
      <w:r w:rsidR="00C83967" w:rsidRPr="006C7538">
        <w:rPr>
          <w:rFonts w:ascii="Times New Roman" w:hAnsi="Times New Roman" w:cs="Times New Roman"/>
          <w:b/>
          <w:sz w:val="24"/>
          <w:szCs w:val="24"/>
        </w:rPr>
        <w:t>кВ</w:t>
      </w:r>
      <w:proofErr w:type="spellEnd"/>
      <w:r w:rsidR="00C83967" w:rsidRPr="006C7538">
        <w:rPr>
          <w:rFonts w:ascii="Times New Roman" w:hAnsi="Times New Roman" w:cs="Times New Roman"/>
          <w:sz w:val="24"/>
          <w:szCs w:val="24"/>
        </w:rPr>
        <w:t xml:space="preserve"> в </w:t>
      </w:r>
      <w:r w:rsidR="00430B49" w:rsidRPr="00430B49">
        <w:rPr>
          <w:rFonts w:ascii="Times New Roman" w:hAnsi="Times New Roman" w:cs="Times New Roman"/>
          <w:b/>
          <w:sz w:val="24"/>
          <w:szCs w:val="24"/>
        </w:rPr>
        <w:t>г. Большой камень</w:t>
      </w:r>
      <w:r w:rsidR="00D8479F" w:rsidRPr="00D8479F">
        <w:rPr>
          <w:rFonts w:ascii="Times New Roman" w:hAnsi="Times New Roman" w:cs="Times New Roman"/>
          <w:b/>
          <w:sz w:val="24"/>
          <w:szCs w:val="24"/>
        </w:rPr>
        <w:t xml:space="preserve">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иных, независящих от Подрядчика обстоятельств, угрожающих годности или прочности </w:t>
      </w:r>
      <w:r w:rsidR="00880075" w:rsidRPr="00DF406A">
        <w:lastRenderedPageBreak/>
        <w:t>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xml:space="preserve">, </w:t>
      </w:r>
      <w:r w:rsidRPr="00DF406A">
        <w:lastRenderedPageBreak/>
        <w:t>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DF406A">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r w:rsidR="00D05421">
        <w:rPr>
          <w:b/>
          <w:i/>
          <w:color w:val="0000FF"/>
        </w:rPr>
        <w:t xml:space="preserve"> </w:t>
      </w:r>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r w:rsidRPr="00DF406A">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средств с расчетного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r w:rsidRPr="00265F9C">
        <w:t xml:space="preserve">с даты получения соответствующего письменного требования Заказчика. </w:t>
      </w:r>
      <w:r w:rsidRPr="00DF406A">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 xml:space="preserve">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xml:space="preserve">, а также размещения временных зданий и сооружений и (или) использования для нужд </w:t>
      </w:r>
      <w:r w:rsidR="00443AB3" w:rsidRPr="00DF406A">
        <w:t>строительства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r w:rsidRPr="00F309DC">
        <w:t>Подрядчик предоставляет отдельные акты выполненных работ (оформленные по формам: КС-2, ПР-2, З-1) по отдельным объектам</w:t>
      </w:r>
      <w:r>
        <w:t xml:space="preserve">. </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Все права на результаты творческой деятельности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пункт включается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 xml:space="preserve">астоящего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ункт включается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816A8E">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proofErr w:type="spellStart"/>
            <w:r w:rsidRPr="00DF406A">
              <w:t>чания</w:t>
            </w:r>
            <w:proofErr w:type="spellEnd"/>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 xml:space="preserve">Информация о </w:t>
            </w:r>
            <w:proofErr w:type="spellStart"/>
            <w:r w:rsidRPr="00DF406A">
              <w:rPr>
                <w:sz w:val="18"/>
                <w:szCs w:val="18"/>
              </w:rPr>
              <w:t>подтвержда-ющих</w:t>
            </w:r>
            <w:proofErr w:type="spell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 xml:space="preserve">-та,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ул.Лубянка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w:t>
            </w:r>
            <w:proofErr w:type="spellStart"/>
            <w:r w:rsidRPr="00DF406A">
              <w:rPr>
                <w:i/>
                <w:iCs/>
                <w:color w:val="31869B"/>
                <w:sz w:val="18"/>
                <w:szCs w:val="18"/>
              </w:rPr>
              <w:t>ный</w:t>
            </w:r>
            <w:proofErr w:type="spellEnd"/>
            <w:r w:rsidRPr="00DF406A">
              <w:rPr>
                <w:i/>
                <w:iCs/>
                <w:color w:val="31869B"/>
                <w:sz w:val="18"/>
                <w:szCs w:val="18"/>
              </w:rPr>
              <w:t xml:space="preserve">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ул.Щепкина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№45-л/с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w:t>
            </w:r>
            <w:proofErr w:type="spellStart"/>
            <w:r w:rsidRPr="00DF406A">
              <w:rPr>
                <w:i/>
                <w:iCs/>
                <w:color w:val="31869B"/>
                <w:sz w:val="18"/>
                <w:szCs w:val="18"/>
              </w:rPr>
              <w:t>ный</w:t>
            </w:r>
            <w:proofErr w:type="spellEnd"/>
            <w:r w:rsidRPr="00DF406A">
              <w:rPr>
                <w:i/>
                <w:iCs/>
                <w:color w:val="31869B"/>
                <w:sz w:val="18"/>
                <w:szCs w:val="18"/>
              </w:rPr>
              <w:t xml:space="preserve">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spellStart"/>
            <w:r w:rsidRPr="00DF406A">
              <w:rPr>
                <w:i/>
                <w:iCs/>
                <w:color w:val="31869B"/>
                <w:sz w:val="18"/>
                <w:szCs w:val="18"/>
              </w:rPr>
              <w:t>Учредител-ьный</w:t>
            </w:r>
            <w:proofErr w:type="spellEnd"/>
            <w:r w:rsidRPr="00DF406A">
              <w:rPr>
                <w:i/>
                <w:iCs/>
                <w:color w:val="31869B"/>
                <w:sz w:val="18"/>
                <w:szCs w:val="18"/>
              </w:rPr>
              <w:t xml:space="preserve">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№56-л/с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w:t>
            </w:r>
            <w:proofErr w:type="spellStart"/>
            <w:r w:rsidRPr="00DF406A">
              <w:rPr>
                <w:i/>
                <w:iCs/>
                <w:color w:val="31869B"/>
                <w:sz w:val="18"/>
                <w:szCs w:val="18"/>
              </w:rPr>
              <w:t>ный</w:t>
            </w:r>
            <w:proofErr w:type="spellEnd"/>
            <w:r w:rsidRPr="00DF406A">
              <w:rPr>
                <w:i/>
                <w:iCs/>
                <w:color w:val="31869B"/>
                <w:sz w:val="18"/>
                <w:szCs w:val="18"/>
              </w:rPr>
              <w:t xml:space="preserve">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дд.мм.гггг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изложенному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0B49"/>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13ACE"/>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280B-59E2-42A8-B166-3B0D8DC1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11594</Words>
  <Characters>66092</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2016-05-13T04:07:00Z</dcterms:created>
  <dcterms:modified xsi:type="dcterms:W3CDTF">2016-05-13T04:07:00Z</dcterms:modified>
</cp:coreProperties>
</file>