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E2C5F">
        <w:rPr>
          <w:bCs/>
          <w:caps/>
          <w:sz w:val="36"/>
          <w:szCs w:val="36"/>
        </w:rPr>
        <w:t>451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DE2C5F" w:rsidRPr="00DA7FAD" w:rsidRDefault="00DE2C5F" w:rsidP="00DE2C5F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BA619D">
        <w:rPr>
          <w:b/>
          <w:i/>
          <w:sz w:val="26"/>
          <w:szCs w:val="26"/>
        </w:rPr>
        <w:t>«</w:t>
      </w:r>
      <w:r w:rsidRPr="00DA7FAD">
        <w:rPr>
          <w:b/>
          <w:i/>
          <w:sz w:val="26"/>
          <w:szCs w:val="26"/>
        </w:rPr>
        <w:t xml:space="preserve">Ремонт РПБ Константиновского РЭС, диспетчерского пункта КРЭС, гаража КРЭС, РПБ </w:t>
      </w:r>
      <w:proofErr w:type="spellStart"/>
      <w:r w:rsidRPr="00DA7FAD">
        <w:rPr>
          <w:b/>
          <w:i/>
          <w:sz w:val="26"/>
          <w:szCs w:val="26"/>
        </w:rPr>
        <w:t>Ромненского</w:t>
      </w:r>
      <w:proofErr w:type="spellEnd"/>
      <w:r w:rsidRPr="00DA7FAD">
        <w:rPr>
          <w:b/>
          <w:i/>
          <w:sz w:val="26"/>
          <w:szCs w:val="26"/>
        </w:rPr>
        <w:t xml:space="preserve"> РЭС</w:t>
      </w:r>
      <w:r w:rsidRPr="00BA619D">
        <w:rPr>
          <w:b/>
          <w:i/>
          <w:sz w:val="26"/>
          <w:szCs w:val="26"/>
        </w:rPr>
        <w:t>»</w:t>
      </w:r>
      <w:r w:rsidRPr="00DA7FAD">
        <w:rPr>
          <w:b/>
          <w:i/>
          <w:sz w:val="26"/>
          <w:szCs w:val="26"/>
        </w:rPr>
        <w:t xml:space="preserve"> филиала </w:t>
      </w:r>
      <w:r>
        <w:rPr>
          <w:b/>
          <w:i/>
          <w:sz w:val="26"/>
          <w:szCs w:val="26"/>
        </w:rPr>
        <w:t>А</w:t>
      </w:r>
      <w:r w:rsidRPr="00DA7FAD">
        <w:rPr>
          <w:b/>
          <w:i/>
          <w:sz w:val="26"/>
          <w:szCs w:val="26"/>
        </w:rPr>
        <w:t>ЭС</w:t>
      </w:r>
    </w:p>
    <w:p w:rsidR="00DE2C5F" w:rsidRPr="00BA619D" w:rsidRDefault="00DE2C5F" w:rsidP="00DE2C5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BA619D">
        <w:rPr>
          <w:b/>
          <w:bCs/>
          <w:sz w:val="26"/>
          <w:szCs w:val="26"/>
        </w:rPr>
        <w:t xml:space="preserve"> закупка № 107</w:t>
      </w:r>
      <w:r>
        <w:rPr>
          <w:b/>
          <w:bCs/>
          <w:sz w:val="26"/>
          <w:szCs w:val="26"/>
        </w:rPr>
        <w:t>2</w:t>
      </w:r>
      <w:r w:rsidRPr="00BA619D">
        <w:rPr>
          <w:b/>
          <w:bCs/>
          <w:sz w:val="26"/>
          <w:szCs w:val="26"/>
        </w:rPr>
        <w:t xml:space="preserve"> раздел 1.1.  ГКПЗ 2016</w:t>
      </w:r>
    </w:p>
    <w:p w:rsidR="00A17E2B" w:rsidRPr="00642B25" w:rsidRDefault="00A17E2B" w:rsidP="004741F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945B4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5B4">
              <w:rPr>
                <w:rFonts w:ascii="Times New Roman" w:hAnsi="Times New Roman"/>
                <w:sz w:val="24"/>
                <w:szCs w:val="24"/>
              </w:rPr>
              <w:t>ма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DE2C5F" w:rsidRDefault="00DE2C5F" w:rsidP="00DE2C5F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E2C5F" w:rsidRDefault="00DE2C5F" w:rsidP="00DE2C5F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DE2C5F" w:rsidRPr="00F943FC" w:rsidRDefault="00DE2C5F" w:rsidP="00DE2C5F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E2C5F" w:rsidRPr="00F943FC" w:rsidRDefault="00DE2C5F" w:rsidP="00DE2C5F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68"/>
        <w:gridCol w:w="3740"/>
      </w:tblGrid>
      <w:tr w:rsidR="00DE2C5F" w:rsidRPr="00DA3216" w:rsidTr="00C929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A3216">
              <w:rPr>
                <w:sz w:val="24"/>
                <w:szCs w:val="24"/>
              </w:rPr>
              <w:t>запросе</w:t>
            </w:r>
            <w:proofErr w:type="gramEnd"/>
            <w:r w:rsidRPr="00DA321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E2C5F" w:rsidRPr="00DA3216" w:rsidTr="00C929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</w:t>
            </w:r>
            <w:proofErr w:type="spellStart"/>
            <w:r w:rsidRPr="00DA3216">
              <w:rPr>
                <w:sz w:val="24"/>
                <w:szCs w:val="24"/>
              </w:rPr>
              <w:t>АльянсГрупп</w:t>
            </w:r>
            <w:proofErr w:type="spellEnd"/>
            <w:r w:rsidRPr="00DA3216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Заявка, подана 20.04.2016 в 03:31</w:t>
            </w:r>
            <w:r w:rsidRPr="00DA3216">
              <w:rPr>
                <w:sz w:val="24"/>
                <w:szCs w:val="24"/>
              </w:rPr>
              <w:br/>
              <w:t xml:space="preserve">Цена: 3 026 700,00 руб. (цена без НДС: </w:t>
            </w:r>
            <w:r w:rsidRPr="00DA3216">
              <w:rPr>
                <w:b/>
                <w:sz w:val="24"/>
                <w:szCs w:val="24"/>
              </w:rPr>
              <w:t>2 565 000,00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</w:tr>
      <w:tr w:rsidR="00DE2C5F" w:rsidRPr="00DA3216" w:rsidTr="00C929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A3216">
              <w:rPr>
                <w:sz w:val="24"/>
                <w:szCs w:val="24"/>
              </w:rPr>
              <w:t>Забурхановская</w:t>
            </w:r>
            <w:proofErr w:type="spellEnd"/>
            <w:r w:rsidRPr="00DA3216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Заявка, подана 19.04.2016 в 12:20</w:t>
            </w:r>
            <w:r w:rsidRPr="00DA3216">
              <w:rPr>
                <w:sz w:val="24"/>
                <w:szCs w:val="24"/>
              </w:rPr>
              <w:br/>
              <w:t xml:space="preserve">Цена: 3 127 000,00 руб. (цена без НДС: </w:t>
            </w:r>
            <w:r w:rsidRPr="00DA3216">
              <w:rPr>
                <w:b/>
                <w:sz w:val="24"/>
                <w:szCs w:val="24"/>
              </w:rPr>
              <w:t>2 650 000,00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</w:tr>
      <w:tr w:rsidR="00DE2C5F" w:rsidRPr="00DA3216" w:rsidTr="00C929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Заявка, подана 19.04.2016 в 11:04</w:t>
            </w:r>
            <w:r w:rsidRPr="00DA3216">
              <w:rPr>
                <w:sz w:val="24"/>
                <w:szCs w:val="24"/>
              </w:rPr>
              <w:br/>
              <w:t xml:space="preserve">Цена: </w:t>
            </w:r>
            <w:r w:rsidRPr="00DA3216">
              <w:rPr>
                <w:b/>
                <w:sz w:val="24"/>
                <w:szCs w:val="24"/>
              </w:rPr>
              <w:t>2 695 400,00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DE2C5F" w:rsidRDefault="00DE2C5F" w:rsidP="00DE2C5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E2C5F" w:rsidRDefault="00DE2C5F" w:rsidP="00DE2C5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DE2C5F" w:rsidRDefault="00DE2C5F" w:rsidP="00DE2C5F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E2C5F" w:rsidRPr="00F943FC" w:rsidRDefault="00DE2C5F" w:rsidP="00DE2C5F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 w:rsidRPr="006B3AE2">
        <w:rPr>
          <w:sz w:val="24"/>
          <w:szCs w:val="24"/>
        </w:rPr>
        <w:t>ООО "</w:t>
      </w:r>
      <w:proofErr w:type="spellStart"/>
      <w:r w:rsidRPr="006B3AE2">
        <w:rPr>
          <w:sz w:val="24"/>
          <w:szCs w:val="24"/>
        </w:rPr>
        <w:t>АльянсГрупп</w:t>
      </w:r>
      <w:proofErr w:type="spellEnd"/>
      <w:r w:rsidRPr="006B3AE2">
        <w:rPr>
          <w:sz w:val="24"/>
          <w:szCs w:val="24"/>
        </w:rPr>
        <w:t>" (675000, Россия, Амурская обл., г. Благовещенск, ул. Политехническая, д. 77)</w:t>
      </w:r>
      <w:r>
        <w:rPr>
          <w:sz w:val="24"/>
          <w:szCs w:val="24"/>
        </w:rPr>
        <w:t xml:space="preserve">, </w:t>
      </w:r>
      <w:r w:rsidRPr="006B3AE2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6B3AE2">
        <w:rPr>
          <w:sz w:val="24"/>
          <w:szCs w:val="24"/>
        </w:rPr>
        <w:t>Забурхановская</w:t>
      </w:r>
      <w:proofErr w:type="spellEnd"/>
      <w:r w:rsidRPr="006B3AE2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6B3AE2">
        <w:rPr>
          <w:sz w:val="24"/>
          <w:szCs w:val="24"/>
        </w:rPr>
        <w:t xml:space="preserve">ООО "Прометей" (675000 Амурская обл. г. </w:t>
      </w:r>
      <w:r w:rsidRPr="006B3AE2">
        <w:rPr>
          <w:sz w:val="24"/>
          <w:szCs w:val="24"/>
        </w:rPr>
        <w:lastRenderedPageBreak/>
        <w:t>Благовещенск ул. Островского, дом 65, помещение 6)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DE2C5F" w:rsidRPr="00F943FC" w:rsidRDefault="00DE2C5F" w:rsidP="00DE2C5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DE2C5F" w:rsidRDefault="00DE2C5F" w:rsidP="00DE2C5F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E2C5F" w:rsidRDefault="00DE2C5F" w:rsidP="00DE2C5F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DE2C5F" w:rsidRPr="00F943FC" w:rsidRDefault="00DE2C5F" w:rsidP="00DE2C5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DE2C5F" w:rsidRPr="00A967F1" w:rsidTr="00C9295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F" w:rsidRPr="00A967F1" w:rsidRDefault="00DE2C5F" w:rsidP="00C9295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F" w:rsidRPr="00A967F1" w:rsidRDefault="00DE2C5F" w:rsidP="00C9295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F" w:rsidRPr="00A967F1" w:rsidRDefault="00DE2C5F" w:rsidP="00C9295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5F" w:rsidRPr="00A967F1" w:rsidRDefault="00DE2C5F" w:rsidP="00C9295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E2C5F" w:rsidRPr="00A967F1" w:rsidTr="00C92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A967F1" w:rsidRDefault="00DE2C5F" w:rsidP="00C9295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</w:t>
            </w:r>
            <w:proofErr w:type="spellStart"/>
            <w:r w:rsidRPr="00DA3216">
              <w:rPr>
                <w:sz w:val="24"/>
                <w:szCs w:val="24"/>
              </w:rPr>
              <w:t>АльянсГрупп</w:t>
            </w:r>
            <w:proofErr w:type="spellEnd"/>
            <w:r w:rsidRPr="00DA3216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3 026 700,00 руб. (цена без НДС: </w:t>
            </w:r>
            <w:r w:rsidRPr="00DA3216">
              <w:rPr>
                <w:b/>
                <w:sz w:val="24"/>
                <w:szCs w:val="24"/>
              </w:rPr>
              <w:t>2 565 000,00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Default="00DE2C5F" w:rsidP="00C92953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3,80</w:t>
            </w:r>
          </w:p>
        </w:tc>
      </w:tr>
      <w:tr w:rsidR="00DE2C5F" w:rsidRPr="00A967F1" w:rsidTr="00C92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Default="00DE2C5F" w:rsidP="00C9295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b/>
                <w:sz w:val="24"/>
                <w:szCs w:val="24"/>
              </w:rPr>
              <w:t>2 695 400,00</w:t>
            </w:r>
            <w:r w:rsidRPr="00DA321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D9056B" w:rsidRDefault="00DE2C5F" w:rsidP="00C92953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3,70</w:t>
            </w:r>
          </w:p>
        </w:tc>
      </w:tr>
      <w:tr w:rsidR="00DE2C5F" w:rsidRPr="00A967F1" w:rsidTr="00C92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Default="00DE2C5F" w:rsidP="00C9295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A3216">
              <w:rPr>
                <w:sz w:val="24"/>
                <w:szCs w:val="24"/>
              </w:rPr>
              <w:t>Забурхановская</w:t>
            </w:r>
            <w:proofErr w:type="spellEnd"/>
            <w:r w:rsidRPr="00DA3216">
              <w:rPr>
                <w:sz w:val="24"/>
                <w:szCs w:val="24"/>
              </w:rPr>
              <w:t>, 98)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Pr="00DA3216" w:rsidRDefault="00DE2C5F" w:rsidP="00C92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216">
              <w:rPr>
                <w:sz w:val="24"/>
                <w:szCs w:val="24"/>
              </w:rPr>
              <w:t xml:space="preserve">3 127 000,00 руб. (цена без НДС: </w:t>
            </w:r>
            <w:r w:rsidRPr="00DA3216">
              <w:rPr>
                <w:b/>
                <w:sz w:val="24"/>
                <w:szCs w:val="24"/>
              </w:rPr>
              <w:t>2 650 000,00</w:t>
            </w:r>
            <w:r w:rsidRPr="00DA3216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F" w:rsidRDefault="00DE2C5F" w:rsidP="00C92953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3,40</w:t>
            </w:r>
          </w:p>
        </w:tc>
      </w:tr>
    </w:tbl>
    <w:p w:rsidR="00DE2C5F" w:rsidRDefault="00DE2C5F" w:rsidP="00DE2C5F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DE2C5F" w:rsidRDefault="00DE2C5F" w:rsidP="00DE2C5F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DE2C5F" w:rsidRPr="00466980" w:rsidRDefault="00DE2C5F" w:rsidP="00DE2C5F">
      <w:pPr>
        <w:pStyle w:val="a9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DE2C5F" w:rsidRPr="00F943FC" w:rsidRDefault="00DE2C5F" w:rsidP="00DE2C5F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DE2C5F" w:rsidRPr="00F943FC" w:rsidRDefault="00DE2C5F" w:rsidP="00DE2C5F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6B3AE2">
        <w:rPr>
          <w:sz w:val="24"/>
          <w:szCs w:val="24"/>
        </w:rPr>
        <w:t>ООО "</w:t>
      </w:r>
      <w:proofErr w:type="spellStart"/>
      <w:r w:rsidRPr="006B3AE2">
        <w:rPr>
          <w:sz w:val="24"/>
          <w:szCs w:val="24"/>
        </w:rPr>
        <w:t>АльянсГрупп</w:t>
      </w:r>
      <w:proofErr w:type="spellEnd"/>
      <w:r w:rsidRPr="006B3AE2">
        <w:rPr>
          <w:sz w:val="24"/>
          <w:szCs w:val="24"/>
        </w:rPr>
        <w:t>" (675000, Россия, Амурская обл., г. Благовещенск, ул. Политехническая, д. 77)</w:t>
      </w:r>
      <w:r>
        <w:rPr>
          <w:sz w:val="24"/>
          <w:szCs w:val="24"/>
        </w:rPr>
        <w:t xml:space="preserve">, </w:t>
      </w:r>
      <w:r w:rsidRPr="006B3AE2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6B3AE2">
        <w:rPr>
          <w:sz w:val="24"/>
          <w:szCs w:val="24"/>
        </w:rPr>
        <w:t>Забурхановская</w:t>
      </w:r>
      <w:proofErr w:type="spellEnd"/>
      <w:r w:rsidRPr="006B3AE2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6B3AE2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DE2C5F" w:rsidRPr="00F943FC" w:rsidRDefault="00DE2C5F" w:rsidP="00DE2C5F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DE2C5F" w:rsidRPr="00F943FC" w:rsidRDefault="00DE2C5F" w:rsidP="00DE2C5F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05.05.2016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DE2C5F" w:rsidRPr="00F943FC" w:rsidRDefault="00DE2C5F" w:rsidP="00DE2C5F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DE2C5F" w:rsidRPr="00F943FC" w:rsidRDefault="00DE2C5F" w:rsidP="00DE2C5F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945B4" w:rsidRDefault="00F945B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F945B4">
        <w:rPr>
          <w:b/>
          <w:i/>
          <w:sz w:val="24"/>
          <w:szCs w:val="24"/>
        </w:rPr>
        <w:t>Е.Ю.Ковр</w:t>
      </w:r>
      <w:r w:rsidR="00F37D71">
        <w:rPr>
          <w:b/>
          <w:i/>
          <w:sz w:val="24"/>
          <w:szCs w:val="24"/>
        </w:rPr>
        <w:t>и</w:t>
      </w:r>
      <w:r w:rsidR="00F945B4">
        <w:rPr>
          <w:b/>
          <w:i/>
          <w:sz w:val="24"/>
          <w:szCs w:val="24"/>
        </w:rPr>
        <w:t>жкина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ED" w:rsidRDefault="001939ED" w:rsidP="00355095">
      <w:pPr>
        <w:spacing w:line="240" w:lineRule="auto"/>
      </w:pPr>
      <w:r>
        <w:separator/>
      </w:r>
    </w:p>
  </w:endnote>
  <w:endnote w:type="continuationSeparator" w:id="0">
    <w:p w:rsidR="001939ED" w:rsidRDefault="001939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7D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7D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ED" w:rsidRDefault="001939ED" w:rsidP="00355095">
      <w:pPr>
        <w:spacing w:line="240" w:lineRule="auto"/>
      </w:pPr>
      <w:r>
        <w:separator/>
      </w:r>
    </w:p>
  </w:footnote>
  <w:footnote w:type="continuationSeparator" w:id="0">
    <w:p w:rsidR="001939ED" w:rsidRDefault="001939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E2C5F">
      <w:rPr>
        <w:i/>
        <w:sz w:val="20"/>
      </w:rPr>
      <w:t>1072</w:t>
    </w:r>
    <w:r w:rsidR="00F945B4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AEAA-4BEB-4704-8719-1D17A45A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26</cp:revision>
  <cp:lastPrinted>2016-05-04T00:36:00Z</cp:lastPrinted>
  <dcterms:created xsi:type="dcterms:W3CDTF">2015-07-29T06:07:00Z</dcterms:created>
  <dcterms:modified xsi:type="dcterms:W3CDTF">2016-05-04T01:44:00Z</dcterms:modified>
</cp:coreProperties>
</file>