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335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5D89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A8D" w:rsidRPr="00704CA0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70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технологическому присоединени</w:t>
      </w:r>
      <w:bookmarkStart w:id="0" w:name="_GoBack"/>
      <w:bookmarkEnd w:id="0"/>
      <w:r w:rsidRPr="0070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ю заявителей к электрическим сетям напряжением до 20 </w:t>
      </w:r>
      <w:proofErr w:type="spellStart"/>
      <w:r w:rsidRPr="0070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70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7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D89" w:rsidRPr="00335D89" w:rsidRDefault="00335D89" w:rsidP="00335D89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33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Надеждинский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урочище «Соловей ключ», урочище «Тигровая падь», п. Раздольное, п.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Стеклозаводский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Ясное,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Заводской, с. Олений, урочище «Полигон»,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Кролевцы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)»;</w:t>
      </w:r>
      <w:proofErr w:type="gramEnd"/>
    </w:p>
    <w:p w:rsidR="00335D89" w:rsidRPr="00335D89" w:rsidRDefault="00335D89" w:rsidP="00335D89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34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д.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Лукьяновка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Шкотово, г. Фокино, п.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Подъяпольск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г. большой камень)»</w:t>
      </w:r>
      <w:proofErr w:type="gramEnd"/>
    </w:p>
    <w:p w:rsidR="00335D89" w:rsidRPr="00335D89" w:rsidRDefault="00335D89" w:rsidP="00335D89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335D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Лот 35 Мероприятия по технологическому присоединению заявителей к электрическим сетям напряжением до 20кВ на территории СП «ПЮЭС» (Партизанский район </w:t>
      </w:r>
      <w:proofErr w:type="spellStart"/>
      <w:r w:rsidRPr="00335D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пгт</w:t>
      </w:r>
      <w:proofErr w:type="spellEnd"/>
      <w:r w:rsidRPr="00335D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.</w:t>
      </w:r>
      <w:proofErr w:type="gramEnd"/>
      <w:r w:rsidRPr="00335D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</w:t>
      </w:r>
      <w:proofErr w:type="gramStart"/>
      <w:r w:rsidRPr="00335D8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>Авангард, с. Голубовка).</w:t>
      </w:r>
      <w:proofErr w:type="gramEnd"/>
    </w:p>
    <w:p w:rsidR="00335D89" w:rsidRPr="00335D89" w:rsidRDefault="00335D89" w:rsidP="00335D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335D89" w:rsidRPr="00335D89" w:rsidRDefault="00335D89" w:rsidP="00335D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33- 5 735 920,00 руб. без учета НДС; </w:t>
      </w:r>
    </w:p>
    <w:p w:rsidR="00335D89" w:rsidRPr="00335D89" w:rsidRDefault="00335D89" w:rsidP="00335D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34- 4 739 020,00 руб. без учета НДС; </w:t>
      </w:r>
    </w:p>
    <w:p w:rsidR="00335D89" w:rsidRPr="00335D89" w:rsidRDefault="00335D89" w:rsidP="00335D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35- 1 460 990,00 руб. без учета НДС.</w:t>
      </w:r>
    </w:p>
    <w:p w:rsidR="00B27C08" w:rsidRPr="007A1A8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E45419" w:rsidRPr="00704CA0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7A1A8D">
        <w:rPr>
          <w:b/>
          <w:sz w:val="22"/>
        </w:rPr>
        <w:t>ПРИСУТСТВОВАЛИ:</w:t>
      </w:r>
      <w:r w:rsidR="00704CA0">
        <w:rPr>
          <w:b/>
          <w:sz w:val="22"/>
        </w:rPr>
        <w:t xml:space="preserve"> </w:t>
      </w:r>
      <w:r w:rsidRPr="00704CA0">
        <w:rPr>
          <w:sz w:val="24"/>
        </w:rPr>
        <w:t>член</w:t>
      </w:r>
      <w:r w:rsidR="00704CA0" w:rsidRPr="00704CA0">
        <w:rPr>
          <w:sz w:val="24"/>
        </w:rPr>
        <w:t>ы</w:t>
      </w:r>
      <w:r w:rsidRPr="00704CA0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704CA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704CA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35D89" w:rsidRPr="00335D89" w:rsidRDefault="00A40D15" w:rsidP="00335D8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704CA0">
        <w:rPr>
          <w:sz w:val="24"/>
          <w:szCs w:val="24"/>
        </w:rPr>
        <w:t xml:space="preserve">В адрес Организатора закупки поступило </w:t>
      </w:r>
      <w:r w:rsidR="00335D89" w:rsidRPr="00335D89">
        <w:rPr>
          <w:snapToGrid w:val="0"/>
          <w:sz w:val="24"/>
          <w:szCs w:val="24"/>
        </w:rPr>
        <w:t>6 (шесть) Предложений на участие в закупке, с которыми были размещены в электронном виде на Торговой площадке Системы www.b2b-energo.ru.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06.10.2015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35D89" w:rsidRPr="00335D89" w:rsidRDefault="00335D89" w:rsidP="00335D8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D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335D89" w:rsidRPr="00335D89" w:rsidTr="00D671D7">
        <w:trPr>
          <w:trHeight w:val="423"/>
        </w:trPr>
        <w:tc>
          <w:tcPr>
            <w:tcW w:w="477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335D89" w:rsidRPr="00335D89" w:rsidTr="00D671D7">
        <w:trPr>
          <w:trHeight w:val="423"/>
        </w:trPr>
        <w:tc>
          <w:tcPr>
            <w:tcW w:w="9606" w:type="dxa"/>
            <w:gridSpan w:val="3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Лот 33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Надеждинский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 район, урочище «Соловей ключ», урочище «Тигровая падь», п. </w:t>
            </w:r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lastRenderedPageBreak/>
              <w:t xml:space="preserve">Раздольное, п.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Стеклозаводский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, с. Ясное,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пгт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.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Заводской, с. Олений, урочище «Полигон»,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пгт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Кролевцы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)»</w:t>
            </w:r>
            <w:proofErr w:type="gramEnd"/>
          </w:p>
        </w:tc>
      </w:tr>
      <w:tr w:rsidR="00335D89" w:rsidRPr="00335D89" w:rsidTr="00906C38">
        <w:trPr>
          <w:trHeight w:val="279"/>
        </w:trPr>
        <w:tc>
          <w:tcPr>
            <w:tcW w:w="477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00" w:type="dxa"/>
          </w:tcPr>
          <w:p w:rsidR="00335D89" w:rsidRPr="00335D89" w:rsidRDefault="00335D89" w:rsidP="00335D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Уссурэлектромонтаж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335D89" w:rsidRPr="00335D89" w:rsidRDefault="00335D89" w:rsidP="00335D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Уссурийск, ул.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Штабского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</w:t>
            </w:r>
          </w:p>
        </w:tc>
        <w:tc>
          <w:tcPr>
            <w:tcW w:w="5529" w:type="dxa"/>
          </w:tcPr>
          <w:p w:rsidR="00335D89" w:rsidRPr="00335D89" w:rsidRDefault="00335D89" w:rsidP="00335D8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5 399 000,00 </w:t>
            </w: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(6 370 820,00 руб. с учетом НДС). </w:t>
            </w:r>
          </w:p>
        </w:tc>
      </w:tr>
      <w:tr w:rsidR="00335D89" w:rsidRPr="00335D89" w:rsidTr="00D671D7">
        <w:tc>
          <w:tcPr>
            <w:tcW w:w="477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29" w:type="dxa"/>
          </w:tcPr>
          <w:p w:rsidR="00335D89" w:rsidRPr="00335D89" w:rsidRDefault="00335D89" w:rsidP="00335D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5 200 000,00  </w:t>
            </w: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(6 136 000,00 руб. с учетом НДС). </w:t>
            </w:r>
          </w:p>
        </w:tc>
      </w:tr>
      <w:tr w:rsidR="00335D89" w:rsidRPr="00335D89" w:rsidTr="00D671D7">
        <w:tc>
          <w:tcPr>
            <w:tcW w:w="9606" w:type="dxa"/>
            <w:gridSpan w:val="3"/>
          </w:tcPr>
          <w:p w:rsidR="00335D89" w:rsidRPr="00335D89" w:rsidRDefault="00335D89" w:rsidP="00335D89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34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Шкотовский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Лукьяновка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пгт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Шкотово, г. Фокино, п.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Подъяпольск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, г. большой камень)»</w:t>
            </w:r>
            <w:proofErr w:type="gramEnd"/>
          </w:p>
        </w:tc>
      </w:tr>
      <w:tr w:rsidR="00335D89" w:rsidRPr="00335D89" w:rsidTr="00D671D7">
        <w:tc>
          <w:tcPr>
            <w:tcW w:w="477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335D89" w:rsidRPr="00335D89" w:rsidRDefault="00335D89" w:rsidP="00335D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Уссурэлектромонтаж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335D89" w:rsidRPr="00335D89" w:rsidRDefault="00335D89" w:rsidP="00335D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Уссурийск, ул.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Штабского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</w:t>
            </w:r>
          </w:p>
        </w:tc>
        <w:tc>
          <w:tcPr>
            <w:tcW w:w="5529" w:type="dxa"/>
          </w:tcPr>
          <w:p w:rsidR="00335D89" w:rsidRPr="00335D89" w:rsidRDefault="00335D89" w:rsidP="00335D8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4 399 000,00 </w:t>
            </w: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(5 190 820,00 руб. с учетом НДС). </w:t>
            </w:r>
          </w:p>
        </w:tc>
      </w:tr>
      <w:tr w:rsidR="00335D89" w:rsidRPr="00335D89" w:rsidTr="00D671D7">
        <w:tc>
          <w:tcPr>
            <w:tcW w:w="477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29" w:type="dxa"/>
          </w:tcPr>
          <w:p w:rsidR="00335D89" w:rsidRPr="00335D89" w:rsidRDefault="00335D89" w:rsidP="00335D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4 300 000,00  </w:t>
            </w: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(5 074 000,00 руб. с учетом НДС). </w:t>
            </w:r>
          </w:p>
        </w:tc>
      </w:tr>
      <w:tr w:rsidR="00335D89" w:rsidRPr="00335D89" w:rsidTr="00D671D7">
        <w:tc>
          <w:tcPr>
            <w:tcW w:w="9606" w:type="dxa"/>
            <w:gridSpan w:val="3"/>
          </w:tcPr>
          <w:p w:rsidR="00335D89" w:rsidRPr="00335D89" w:rsidRDefault="00335D89" w:rsidP="00335D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Лот 35 Мероприятия по технологическому присоединению заявителей к электрическим сетям напряжением до 20кВ на территории СП «ПЮЭС» (Партизанский район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пгт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.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0"/>
                <w:lang w:eastAsia="ru-RU"/>
              </w:rPr>
              <w:t>Авангард, с. Голубовка)</w:t>
            </w:r>
            <w:proofErr w:type="gramEnd"/>
          </w:p>
        </w:tc>
      </w:tr>
      <w:tr w:rsidR="00335D89" w:rsidRPr="00335D89" w:rsidTr="00D671D7">
        <w:tc>
          <w:tcPr>
            <w:tcW w:w="477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335D89" w:rsidRPr="00335D89" w:rsidRDefault="00335D89" w:rsidP="00335D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Уссурэлектромонтаж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335D89" w:rsidRPr="00335D89" w:rsidRDefault="00335D89" w:rsidP="00335D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Уссурийск, ул. 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Штабского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</w:t>
            </w:r>
          </w:p>
        </w:tc>
        <w:tc>
          <w:tcPr>
            <w:tcW w:w="5529" w:type="dxa"/>
          </w:tcPr>
          <w:p w:rsidR="00335D89" w:rsidRPr="00335D89" w:rsidRDefault="00335D89" w:rsidP="00335D8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1 460 990,00 </w:t>
            </w: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(1 723 968,20 руб. с учетом НДС). </w:t>
            </w:r>
          </w:p>
        </w:tc>
      </w:tr>
      <w:tr w:rsidR="00335D89" w:rsidRPr="00335D89" w:rsidTr="00D671D7">
        <w:tc>
          <w:tcPr>
            <w:tcW w:w="477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5529" w:type="dxa"/>
          </w:tcPr>
          <w:p w:rsidR="00335D89" w:rsidRPr="00335D89" w:rsidRDefault="00335D89" w:rsidP="00335D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35D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1 455 130,28  </w:t>
            </w:r>
            <w:r w:rsidRPr="00335D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(1 717 053,73 руб. с учетом НДС). </w:t>
            </w:r>
          </w:p>
        </w:tc>
      </w:tr>
    </w:tbl>
    <w:p w:rsidR="00EB7E33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335D89" w:rsidRPr="00335D89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 xml:space="preserve">Е.Ю. </w:t>
      </w:r>
      <w:proofErr w:type="spellStart"/>
      <w:r w:rsidR="004435B1">
        <w:rPr>
          <w:b/>
          <w:i/>
          <w:sz w:val="24"/>
        </w:rPr>
        <w:t>Коврижкина</w:t>
      </w:r>
      <w:proofErr w:type="spellEnd"/>
    </w:p>
    <w:sectPr w:rsidR="000969C9" w:rsidRPr="00055B77" w:rsidSect="00704CA0">
      <w:headerReference w:type="default" r:id="rId10"/>
      <w:footerReference w:type="default" r:id="rId11"/>
      <w:pgSz w:w="11906" w:h="16838"/>
      <w:pgMar w:top="968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EB" w:rsidRDefault="000A04EB" w:rsidP="000F4708">
      <w:pPr>
        <w:spacing w:after="0" w:line="240" w:lineRule="auto"/>
      </w:pPr>
      <w:r>
        <w:separator/>
      </w:r>
    </w:p>
  </w:endnote>
  <w:endnote w:type="continuationSeparator" w:id="0">
    <w:p w:rsidR="000A04EB" w:rsidRDefault="000A04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EB" w:rsidRDefault="000A04EB" w:rsidP="000F4708">
      <w:pPr>
        <w:spacing w:after="0" w:line="240" w:lineRule="auto"/>
      </w:pPr>
      <w:r>
        <w:separator/>
      </w:r>
    </w:p>
  </w:footnote>
  <w:footnote w:type="continuationSeparator" w:id="0">
    <w:p w:rsidR="000A04EB" w:rsidRDefault="000A04E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4CA0">
      <w:rPr>
        <w:i/>
        <w:sz w:val="18"/>
        <w:szCs w:val="18"/>
      </w:rPr>
      <w:t>64</w:t>
    </w:r>
    <w:r w:rsidR="00335D89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5D89">
      <w:rPr>
        <w:i/>
        <w:sz w:val="18"/>
        <w:szCs w:val="18"/>
      </w:rPr>
      <w:t>06</w:t>
    </w:r>
    <w:r w:rsidR="00EF60E5">
      <w:rPr>
        <w:i/>
        <w:sz w:val="18"/>
        <w:szCs w:val="18"/>
      </w:rPr>
      <w:t>.</w:t>
    </w:r>
    <w:r w:rsidR="00335D89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5D89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8973-E605-4BC7-A466-4B1CF4EA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</cp:revision>
  <cp:lastPrinted>2015-10-05T04:03:00Z</cp:lastPrinted>
  <dcterms:created xsi:type="dcterms:W3CDTF">2015-03-26T06:58:00Z</dcterms:created>
  <dcterms:modified xsi:type="dcterms:W3CDTF">2015-10-05T04:03:00Z</dcterms:modified>
</cp:coreProperties>
</file>