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A3580A">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86872">
        <w:rPr>
          <w:color w:val="000000"/>
          <w:sz w:val="22"/>
          <w:szCs w:val="22"/>
        </w:rPr>
        <w:t>ей</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AF3C99">
        <w:rPr>
          <w:color w:val="000000"/>
          <w:sz w:val="22"/>
          <w:szCs w:val="22"/>
        </w:rPr>
        <w:t xml:space="preserve"> «Амурские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F3C99">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F3C99">
        <w:rPr>
          <w:sz w:val="22"/>
          <w:szCs w:val="22"/>
        </w:rPr>
        <w:t>4</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F3C99">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AF3C99">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bookmarkStart w:id="0" w:name="_GoBack"/>
      <w:bookmarkEnd w:id="0"/>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Pr="00E84FF7">
        <w:rPr>
          <w:b/>
          <w:bCs/>
          <w:color w:val="000000"/>
          <w:spacing w:val="-1"/>
          <w:sz w:val="22"/>
          <w:szCs w:val="22"/>
        </w:rPr>
        <w:t xml:space="preserve"> филиал ОАО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Pr="0041756A" w:rsidRDefault="00AF3C99" w:rsidP="00AF3C99">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AF3C99">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F3C99">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F3C99">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AF3C99"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38" w:rsidRDefault="00122338" w:rsidP="00070A4C">
      <w:r>
        <w:separator/>
      </w:r>
    </w:p>
  </w:endnote>
  <w:endnote w:type="continuationSeparator" w:id="0">
    <w:p w:rsidR="00122338" w:rsidRDefault="0012233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38" w:rsidRDefault="00122338" w:rsidP="00070A4C">
      <w:r>
        <w:separator/>
      </w:r>
    </w:p>
  </w:footnote>
  <w:footnote w:type="continuationSeparator" w:id="0">
    <w:p w:rsidR="00122338" w:rsidRDefault="0012233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B061C"/>
    <w:rsid w:val="001C083F"/>
    <w:rsid w:val="001C5702"/>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259E-D1EF-4620-8792-7AC64C453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5177</Words>
  <Characters>29515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2015-09-03T01:06:00Z</cp:lastPrinted>
  <dcterms:created xsi:type="dcterms:W3CDTF">2015-09-03T02:56:00Z</dcterms:created>
  <dcterms:modified xsi:type="dcterms:W3CDTF">2015-09-04T05:50:00Z</dcterms:modified>
</cp:coreProperties>
</file>