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C74E0B" w:rsidP="00C74E0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УВЕДОМЛЕНИЕ</w:t>
            </w:r>
            <w:r w:rsidR="00FE4832">
              <w:rPr>
                <w:b/>
                <w:bCs/>
                <w:sz w:val="26"/>
              </w:rPr>
              <w:t xml:space="preserve"> О </w:t>
            </w:r>
            <w:proofErr w:type="gramStart"/>
            <w:r w:rsidR="00FE4832">
              <w:rPr>
                <w:b/>
                <w:bCs/>
                <w:sz w:val="26"/>
              </w:rPr>
              <w:t>ВНЕСЕНИИ</w:t>
            </w:r>
            <w:proofErr w:type="gramEnd"/>
            <w:r w:rsidR="00FE4832">
              <w:rPr>
                <w:b/>
                <w:bCs/>
                <w:sz w:val="26"/>
              </w:rPr>
              <w:t xml:space="preserve"> ИЗМЕНЕНИЙ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C77F0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C77F06">
              <w:rPr>
                <w:b/>
                <w:bCs/>
                <w:sz w:val="26"/>
              </w:rPr>
              <w:t>2701</w:t>
            </w:r>
          </w:p>
        </w:tc>
      </w:tr>
    </w:tbl>
    <w:p w:rsidR="00F60214" w:rsidRDefault="00F60214" w:rsidP="00F60214">
      <w:pPr>
        <w:jc w:val="both"/>
      </w:pPr>
    </w:p>
    <w:p w:rsidR="00F60214" w:rsidRDefault="00C77F06" w:rsidP="00F60214">
      <w:pPr>
        <w:jc w:val="both"/>
      </w:pPr>
      <w:r>
        <w:rPr>
          <w:b/>
          <w:bCs/>
        </w:rPr>
        <w:t>08</w:t>
      </w:r>
      <w:r w:rsidR="009F67BA">
        <w:rPr>
          <w:b/>
          <w:bCs/>
        </w:rPr>
        <w:t>.0</w:t>
      </w:r>
      <w:r w:rsidR="00163C2C">
        <w:rPr>
          <w:b/>
          <w:bCs/>
        </w:rPr>
        <w:t>9</w:t>
      </w:r>
      <w:r w:rsidR="00B156B4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D9290F">
        <w:rPr>
          <w:b/>
          <w:bCs/>
        </w:rPr>
        <w:t>752</w:t>
      </w: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FE4832" w:rsidRPr="00D9290F" w:rsidRDefault="00FE4832" w:rsidP="00975B9A">
      <w:pPr>
        <w:tabs>
          <w:tab w:val="left" w:pos="142"/>
          <w:tab w:val="left" w:pos="851"/>
        </w:tabs>
        <w:ind w:firstLine="567"/>
        <w:contextualSpacing/>
        <w:jc w:val="both"/>
      </w:pPr>
      <w:r w:rsidRPr="00D9290F">
        <w:t>Организатор (Заказчик) запроса предложений</w:t>
      </w:r>
      <w:r w:rsidRPr="00D9290F">
        <w:rPr>
          <w:b/>
        </w:rPr>
        <w:t xml:space="preserve"> </w:t>
      </w:r>
      <w:r w:rsidRPr="00D9290F"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 w:rsidRPr="00D9290F">
        <w:t>60</w:t>
      </w:r>
      <w:r w:rsidRPr="00D9290F">
        <w:t xml:space="preserve">, </w:t>
      </w:r>
      <w:r w:rsidRPr="00D9290F">
        <w:rPr>
          <w:lang w:val="en-US"/>
        </w:rPr>
        <w:t>e</w:t>
      </w:r>
      <w:r w:rsidRPr="00D9290F">
        <w:t>-</w:t>
      </w:r>
      <w:r w:rsidRPr="00D9290F">
        <w:rPr>
          <w:lang w:val="en-US"/>
        </w:rPr>
        <w:t>mail</w:t>
      </w:r>
      <w:r w:rsidRPr="00D9290F">
        <w:t xml:space="preserve">:  </w:t>
      </w:r>
      <w:hyperlink r:id="rId7" w:history="1">
        <w:r w:rsidR="00120C40" w:rsidRPr="00D9290F">
          <w:rPr>
            <w:rStyle w:val="a5"/>
            <w:lang w:val="en-US"/>
          </w:rPr>
          <w:t>okzt</w:t>
        </w:r>
        <w:r w:rsidR="00120C40" w:rsidRPr="00D9290F">
          <w:rPr>
            <w:rStyle w:val="a5"/>
          </w:rPr>
          <w:t>3@</w:t>
        </w:r>
        <w:r w:rsidR="00120C40" w:rsidRPr="00D9290F">
          <w:rPr>
            <w:rStyle w:val="a5"/>
            <w:lang w:val="en-US"/>
          </w:rPr>
          <w:t>drsk</w:t>
        </w:r>
        <w:r w:rsidR="00120C40" w:rsidRPr="00D9290F">
          <w:rPr>
            <w:rStyle w:val="a5"/>
          </w:rPr>
          <w:t>.</w:t>
        </w:r>
        <w:proofErr w:type="spellStart"/>
        <w:r w:rsidR="00120C40" w:rsidRPr="00D9290F">
          <w:rPr>
            <w:rStyle w:val="a5"/>
            <w:lang w:val="en-US"/>
          </w:rPr>
          <w:t>ru</w:t>
        </w:r>
        <w:proofErr w:type="spellEnd"/>
      </w:hyperlink>
      <w:r w:rsidRPr="00D9290F">
        <w:t xml:space="preserve">)   настоящим извещает потенциальных участников открытого запроса предложений на  право заключения Договора на </w:t>
      </w:r>
      <w:r w:rsidR="00120C40" w:rsidRPr="00D9290F">
        <w:t>поставку</w:t>
      </w:r>
      <w:r w:rsidRPr="00D9290F">
        <w:t xml:space="preserve">: </w:t>
      </w:r>
      <w:r w:rsidRPr="00D9290F">
        <w:rPr>
          <w:b/>
          <w:i/>
        </w:rPr>
        <w:t>«</w:t>
      </w:r>
      <w:r w:rsidR="00C77F06" w:rsidRPr="00D9290F">
        <w:rPr>
          <w:b/>
          <w:bCs/>
          <w:i/>
          <w:iCs/>
          <w:w w:val="110"/>
        </w:rPr>
        <w:t>Гусеничная самоходная машина (</w:t>
      </w:r>
      <w:proofErr w:type="spellStart"/>
      <w:r w:rsidR="00C77F06" w:rsidRPr="00D9290F">
        <w:rPr>
          <w:b/>
          <w:bCs/>
          <w:i/>
          <w:iCs/>
          <w:w w:val="110"/>
        </w:rPr>
        <w:t>мульчер</w:t>
      </w:r>
      <w:proofErr w:type="spellEnd"/>
      <w:r w:rsidR="00C77F06" w:rsidRPr="00D9290F">
        <w:rPr>
          <w:b/>
          <w:bCs/>
          <w:i/>
          <w:iCs/>
          <w:w w:val="110"/>
        </w:rPr>
        <w:t xml:space="preserve">)» </w:t>
      </w:r>
      <w:r w:rsidR="00C77F06" w:rsidRPr="00D9290F">
        <w:rPr>
          <w:bCs/>
          <w:iCs/>
          <w:w w:val="110"/>
        </w:rPr>
        <w:t>для нужд филиала ОАО «ДРСК»</w:t>
      </w:r>
      <w:r w:rsidR="00C77F06" w:rsidRPr="00D9290F">
        <w:rPr>
          <w:w w:val="110"/>
        </w:rPr>
        <w:t xml:space="preserve"> «Хабаровские электрические сети</w:t>
      </w:r>
      <w:r w:rsidRPr="00D9290F">
        <w:rPr>
          <w:b/>
          <w:bCs/>
          <w:i/>
        </w:rPr>
        <w:t xml:space="preserve">», </w:t>
      </w:r>
      <w:r w:rsidRPr="00D9290F">
        <w:rPr>
          <w:bCs/>
        </w:rPr>
        <w:t xml:space="preserve">объявленного извещением от </w:t>
      </w:r>
      <w:r w:rsidR="00163C2C" w:rsidRPr="00D9290F">
        <w:rPr>
          <w:bCs/>
        </w:rPr>
        <w:t>1</w:t>
      </w:r>
      <w:r w:rsidR="00C77F06" w:rsidRPr="00D9290F">
        <w:rPr>
          <w:bCs/>
        </w:rPr>
        <w:t>8</w:t>
      </w:r>
      <w:r w:rsidR="00163C2C" w:rsidRPr="00D9290F">
        <w:rPr>
          <w:bCs/>
        </w:rPr>
        <w:t>.08</w:t>
      </w:r>
      <w:r w:rsidRPr="00D9290F">
        <w:rPr>
          <w:bCs/>
        </w:rPr>
        <w:t xml:space="preserve">.2014 № </w:t>
      </w:r>
      <w:r w:rsidR="00163C2C" w:rsidRPr="00D9290F">
        <w:rPr>
          <w:bCs/>
        </w:rPr>
        <w:t>4</w:t>
      </w:r>
      <w:r w:rsidR="00C77F06" w:rsidRPr="00D9290F">
        <w:rPr>
          <w:bCs/>
        </w:rPr>
        <w:t>73</w:t>
      </w:r>
      <w:r w:rsidR="00163C2C" w:rsidRPr="00D9290F">
        <w:rPr>
          <w:bCs/>
        </w:rPr>
        <w:t>/</w:t>
      </w:r>
      <w:proofErr w:type="spellStart"/>
      <w:r w:rsidR="00163C2C" w:rsidRPr="00D9290F">
        <w:rPr>
          <w:bCs/>
        </w:rPr>
        <w:t>МТПиР</w:t>
      </w:r>
      <w:proofErr w:type="spellEnd"/>
      <w:r w:rsidRPr="00D9290F">
        <w:rPr>
          <w:bCs/>
        </w:rPr>
        <w:t xml:space="preserve">, </w:t>
      </w:r>
      <w:r w:rsidR="00670809" w:rsidRPr="00D9290F">
        <w:rPr>
          <w:color w:val="000000"/>
        </w:rPr>
        <w:t>о в</w:t>
      </w:r>
      <w:r w:rsidR="00823B26" w:rsidRPr="00D9290F">
        <w:rPr>
          <w:color w:val="000000"/>
        </w:rPr>
        <w:t xml:space="preserve">несении изменений в </w:t>
      </w:r>
      <w:r w:rsidR="00C74E0B" w:rsidRPr="00D9290F">
        <w:rPr>
          <w:color w:val="000000"/>
        </w:rPr>
        <w:t>Извещение</w:t>
      </w:r>
      <w:r w:rsidR="00C77F06" w:rsidRPr="00D9290F">
        <w:rPr>
          <w:color w:val="000000"/>
        </w:rPr>
        <w:t>,</w:t>
      </w:r>
      <w:r w:rsidR="00163C2C" w:rsidRPr="00D9290F">
        <w:rPr>
          <w:color w:val="000000"/>
        </w:rPr>
        <w:t xml:space="preserve"> Закупочную документацию</w:t>
      </w:r>
      <w:r w:rsidR="00C77F06" w:rsidRPr="00D9290F">
        <w:rPr>
          <w:color w:val="000000"/>
        </w:rPr>
        <w:t xml:space="preserve"> и о замене технического задания</w:t>
      </w:r>
      <w:r w:rsidR="00823B26" w:rsidRPr="00D9290F">
        <w:rPr>
          <w:color w:val="000000"/>
        </w:rPr>
        <w:t>.</w:t>
      </w:r>
      <w:r w:rsidR="004C1A87" w:rsidRPr="00D9290F">
        <w:rPr>
          <w:color w:val="000000"/>
        </w:rPr>
        <w:t xml:space="preserve"> </w:t>
      </w:r>
    </w:p>
    <w:p w:rsidR="00C74E0B" w:rsidRPr="00D9290F" w:rsidRDefault="00C74E0B" w:rsidP="00E91E6B">
      <w:pPr>
        <w:tabs>
          <w:tab w:val="left" w:pos="142"/>
          <w:tab w:val="left" w:pos="851"/>
        </w:tabs>
        <w:ind w:left="567"/>
        <w:contextualSpacing/>
        <w:jc w:val="both"/>
        <w:rPr>
          <w:b/>
          <w:u w:val="single"/>
        </w:rPr>
      </w:pPr>
      <w:r w:rsidRPr="00D9290F">
        <w:rPr>
          <w:b/>
          <w:u w:val="single"/>
        </w:rPr>
        <w:t>Изменения внесены:</w:t>
      </w:r>
    </w:p>
    <w:p w:rsidR="00163C2C" w:rsidRPr="00D9290F" w:rsidRDefault="00163C2C" w:rsidP="00E91E6B">
      <w:pPr>
        <w:tabs>
          <w:tab w:val="left" w:pos="142"/>
          <w:tab w:val="left" w:pos="851"/>
        </w:tabs>
        <w:ind w:left="567"/>
        <w:contextualSpacing/>
        <w:jc w:val="both"/>
        <w:rPr>
          <w:b/>
          <w:u w:val="single"/>
        </w:rPr>
      </w:pPr>
      <w:r w:rsidRPr="00D9290F">
        <w:rPr>
          <w:b/>
          <w:u w:val="single"/>
        </w:rPr>
        <w:t>В Извещение:</w:t>
      </w:r>
    </w:p>
    <w:p w:rsidR="00C5032E" w:rsidRPr="00D9290F" w:rsidRDefault="00C74E0B" w:rsidP="00975B9A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4"/>
        </w:rPr>
      </w:pPr>
      <w:r w:rsidRPr="00D9290F">
        <w:rPr>
          <w:snapToGrid w:val="0"/>
          <w:sz w:val="24"/>
        </w:rPr>
        <w:t xml:space="preserve">Пункт </w:t>
      </w:r>
      <w:r w:rsidR="00C5032E" w:rsidRPr="00D9290F">
        <w:rPr>
          <w:snapToGrid w:val="0"/>
          <w:sz w:val="24"/>
        </w:rPr>
        <w:t>7</w:t>
      </w:r>
      <w:r w:rsidRPr="00D9290F">
        <w:rPr>
          <w:snapToGrid w:val="0"/>
          <w:sz w:val="24"/>
        </w:rPr>
        <w:t xml:space="preserve">  </w:t>
      </w:r>
      <w:r w:rsidR="00C5032E" w:rsidRPr="00D9290F">
        <w:rPr>
          <w:snapToGrid w:val="0"/>
          <w:sz w:val="24"/>
        </w:rPr>
        <w:t>«</w:t>
      </w:r>
      <w:r w:rsidR="00C5032E" w:rsidRPr="00D9290F">
        <w:rPr>
          <w:sz w:val="24"/>
        </w:rPr>
        <w:t xml:space="preserve">Сроки поставки: до </w:t>
      </w:r>
      <w:r w:rsidR="00C5032E" w:rsidRPr="00D9290F">
        <w:rPr>
          <w:sz w:val="24"/>
          <w:highlight w:val="yellow"/>
        </w:rPr>
        <w:t>25</w:t>
      </w:r>
      <w:r w:rsidR="00C5032E" w:rsidRPr="00D9290F">
        <w:rPr>
          <w:sz w:val="24"/>
        </w:rPr>
        <w:t>.12.2014г. с возможностью  досрочной поставки»</w:t>
      </w:r>
    </w:p>
    <w:p w:rsidR="00C5032E" w:rsidRPr="00D9290F" w:rsidRDefault="00C5032E" w:rsidP="00975B9A">
      <w:pPr>
        <w:pStyle w:val="a7"/>
        <w:numPr>
          <w:ilvl w:val="0"/>
          <w:numId w:val="6"/>
        </w:numPr>
        <w:spacing w:line="240" w:lineRule="auto"/>
        <w:rPr>
          <w:sz w:val="24"/>
        </w:rPr>
      </w:pPr>
      <w:r w:rsidRPr="00D9290F">
        <w:rPr>
          <w:snapToGrid w:val="0"/>
          <w:sz w:val="24"/>
        </w:rPr>
        <w:t xml:space="preserve">Пункт 12 </w:t>
      </w:r>
      <w:r w:rsidR="00C74E0B" w:rsidRPr="00D9290F">
        <w:rPr>
          <w:snapToGrid w:val="0"/>
          <w:sz w:val="24"/>
        </w:rPr>
        <w:t>«</w:t>
      </w:r>
      <w:r w:rsidRPr="00D9290F">
        <w:rPr>
          <w:sz w:val="24"/>
        </w:rPr>
        <w:t xml:space="preserve">Дата окончания подачи заявок на участие в конкурсе: </w:t>
      </w:r>
      <w:r w:rsidRPr="00D9290F">
        <w:rPr>
          <w:i/>
          <w:sz w:val="24"/>
        </w:rPr>
        <w:t>15:00</w:t>
      </w:r>
      <w:r w:rsidRPr="00D9290F">
        <w:rPr>
          <w:sz w:val="24"/>
        </w:rPr>
        <w:t xml:space="preserve"> часов местного (Благовещенского) времени (09:00 часов Московского времени) </w:t>
      </w:r>
      <w:r w:rsidRPr="00D9290F">
        <w:rPr>
          <w:i/>
          <w:sz w:val="24"/>
          <w:highlight w:val="yellow"/>
        </w:rPr>
        <w:t>«</w:t>
      </w:r>
      <w:r w:rsidR="000455FF">
        <w:rPr>
          <w:i/>
          <w:sz w:val="24"/>
          <w:highlight w:val="yellow"/>
        </w:rPr>
        <w:t>23</w:t>
      </w:r>
      <w:r w:rsidRPr="00D9290F">
        <w:rPr>
          <w:i/>
          <w:sz w:val="24"/>
          <w:highlight w:val="yellow"/>
        </w:rPr>
        <w:t>»</w:t>
      </w:r>
      <w:r w:rsidRPr="00D9290F">
        <w:rPr>
          <w:i/>
          <w:sz w:val="24"/>
        </w:rPr>
        <w:t xml:space="preserve"> сентября 2014 года»</w:t>
      </w:r>
      <w:r w:rsidRPr="00D9290F">
        <w:rPr>
          <w:sz w:val="24"/>
        </w:rPr>
        <w:t>.</w:t>
      </w:r>
    </w:p>
    <w:p w:rsidR="00163C2C" w:rsidRPr="00D9290F" w:rsidRDefault="00163C2C" w:rsidP="00975B9A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4"/>
        </w:rPr>
      </w:pPr>
      <w:r w:rsidRPr="00D9290F">
        <w:rPr>
          <w:snapToGrid w:val="0"/>
          <w:sz w:val="24"/>
        </w:rPr>
        <w:t>Пункт 1</w:t>
      </w:r>
      <w:r w:rsidR="00C5032E" w:rsidRPr="00D9290F">
        <w:rPr>
          <w:snapToGrid w:val="0"/>
          <w:sz w:val="24"/>
        </w:rPr>
        <w:t>4</w:t>
      </w:r>
      <w:r w:rsidRPr="00D9290F">
        <w:rPr>
          <w:snapToGrid w:val="0"/>
          <w:sz w:val="24"/>
        </w:rPr>
        <w:t xml:space="preserve"> «</w:t>
      </w:r>
      <w:r w:rsidR="00C5032E" w:rsidRPr="00D9290F">
        <w:rPr>
          <w:sz w:val="24"/>
          <w:u w:val="single"/>
        </w:rPr>
        <w:t>Вскрытие конвертов</w:t>
      </w:r>
      <w:r w:rsidR="00C5032E" w:rsidRPr="00D9290F">
        <w:rPr>
          <w:sz w:val="24"/>
        </w:rPr>
        <w:t xml:space="preserve"> с заявками участников будет происходить на электронной торговой площадке в </w:t>
      </w:r>
      <w:r w:rsidR="00C5032E" w:rsidRPr="00D9290F">
        <w:rPr>
          <w:i/>
          <w:sz w:val="24"/>
        </w:rPr>
        <w:t>15:00 часов местного</w:t>
      </w:r>
      <w:r w:rsidR="00C5032E" w:rsidRPr="00D9290F">
        <w:rPr>
          <w:sz w:val="24"/>
        </w:rPr>
        <w:t xml:space="preserve"> (Благовещенского) времени (09:00 часов Московского времени) </w:t>
      </w:r>
      <w:r w:rsidR="00C5032E" w:rsidRPr="00D9290F">
        <w:rPr>
          <w:i/>
          <w:sz w:val="24"/>
        </w:rPr>
        <w:t>«</w:t>
      </w:r>
      <w:r w:rsidR="000455FF" w:rsidRPr="000455FF">
        <w:rPr>
          <w:i/>
          <w:sz w:val="24"/>
          <w:highlight w:val="yellow"/>
        </w:rPr>
        <w:t>23</w:t>
      </w:r>
      <w:r w:rsidR="00C5032E" w:rsidRPr="00D9290F">
        <w:rPr>
          <w:i/>
          <w:sz w:val="24"/>
        </w:rPr>
        <w:t>» сентября 2014 года</w:t>
      </w:r>
      <w:r w:rsidRPr="00D9290F">
        <w:rPr>
          <w:sz w:val="24"/>
        </w:rPr>
        <w:t xml:space="preserve">» </w:t>
      </w:r>
    </w:p>
    <w:p w:rsidR="00C74E0B" w:rsidRPr="00D9290F" w:rsidRDefault="00163C2C" w:rsidP="00975B9A">
      <w:pPr>
        <w:numPr>
          <w:ilvl w:val="0"/>
          <w:numId w:val="6"/>
        </w:numPr>
        <w:autoSpaceDE w:val="0"/>
        <w:autoSpaceDN w:val="0"/>
        <w:spacing w:before="60"/>
        <w:contextualSpacing/>
        <w:jc w:val="both"/>
        <w:rPr>
          <w:snapToGrid w:val="0"/>
        </w:rPr>
      </w:pPr>
      <w:r w:rsidRPr="00D9290F">
        <w:rPr>
          <w:snapToGrid w:val="0"/>
        </w:rPr>
        <w:t>Пункт 1</w:t>
      </w:r>
      <w:r w:rsidR="00C5032E" w:rsidRPr="00D9290F">
        <w:rPr>
          <w:snapToGrid w:val="0"/>
        </w:rPr>
        <w:t>9</w:t>
      </w:r>
      <w:r w:rsidRPr="00D9290F">
        <w:rPr>
          <w:snapToGrid w:val="0"/>
        </w:rPr>
        <w:t xml:space="preserve"> «</w:t>
      </w:r>
      <w:r w:rsidR="00C5032E" w:rsidRPr="00D9290F">
        <w:t>Обеспечение Конкурсной заявки на участие в конкурсе должно быть зачислено по реквизитам счета Организатора, до момента вскрытия конвертов на электронной торговой площадке (15:00 часов местного (Благовещенского) времени (09:00 часа Московского времени) «</w:t>
      </w:r>
      <w:r w:rsidR="000455FF" w:rsidRPr="000455FF">
        <w:rPr>
          <w:highlight w:val="yellow"/>
        </w:rPr>
        <w:t>23</w:t>
      </w:r>
      <w:r w:rsidR="00C5032E" w:rsidRPr="00D9290F">
        <w:t xml:space="preserve">»  сентября 2014 года). В противном </w:t>
      </w:r>
      <w:proofErr w:type="gramStart"/>
      <w:r w:rsidR="00C5032E" w:rsidRPr="00D9290F">
        <w:t>случае</w:t>
      </w:r>
      <w:proofErr w:type="gramEnd"/>
      <w:r w:rsidR="00C5032E" w:rsidRPr="00D9290F">
        <w:t xml:space="preserve"> обеспечение конкурсной заявки на участие в конкурсе считается невнесенным</w:t>
      </w:r>
      <w:r w:rsidRPr="00D9290F">
        <w:t>».</w:t>
      </w:r>
    </w:p>
    <w:p w:rsidR="00163C2C" w:rsidRPr="00D9290F" w:rsidRDefault="00C5032E" w:rsidP="00975B9A">
      <w:pPr>
        <w:numPr>
          <w:ilvl w:val="0"/>
          <w:numId w:val="6"/>
        </w:numPr>
        <w:autoSpaceDE w:val="0"/>
        <w:autoSpaceDN w:val="0"/>
        <w:contextualSpacing/>
        <w:jc w:val="both"/>
        <w:rPr>
          <w:snapToGrid w:val="0"/>
        </w:rPr>
      </w:pPr>
      <w:r w:rsidRPr="00D9290F">
        <w:t>Пункт 21</w:t>
      </w:r>
      <w:r w:rsidR="00163C2C" w:rsidRPr="00D9290F">
        <w:t xml:space="preserve"> «</w:t>
      </w:r>
      <w:r w:rsidRPr="00D9290F">
        <w:t xml:space="preserve">Предполагается, что рассмотрение предложений участников конкурса будет осуществлено в срок до </w:t>
      </w:r>
      <w:r w:rsidR="000455FF" w:rsidRPr="000455FF">
        <w:rPr>
          <w:highlight w:val="yellow"/>
        </w:rPr>
        <w:t xml:space="preserve">13 </w:t>
      </w:r>
      <w:r w:rsidRPr="000455FF">
        <w:rPr>
          <w:highlight w:val="yellow"/>
        </w:rPr>
        <w:t>октября</w:t>
      </w:r>
      <w:r w:rsidRPr="00D9290F">
        <w:t xml:space="preserve">  2014 г. по адресу Организатора. Организатор вправе, при необходимости, изменить данный срок</w:t>
      </w:r>
      <w:r w:rsidR="00163C2C" w:rsidRPr="00D9290F">
        <w:rPr>
          <w:snapToGrid w:val="0"/>
        </w:rPr>
        <w:t>».</w:t>
      </w:r>
    </w:p>
    <w:p w:rsidR="00C5032E" w:rsidRPr="00D9290F" w:rsidRDefault="00C5032E" w:rsidP="00975B9A">
      <w:pPr>
        <w:numPr>
          <w:ilvl w:val="0"/>
          <w:numId w:val="6"/>
        </w:numPr>
        <w:autoSpaceDE w:val="0"/>
        <w:autoSpaceDN w:val="0"/>
        <w:contextualSpacing/>
        <w:jc w:val="both"/>
        <w:rPr>
          <w:snapToGrid w:val="0"/>
        </w:rPr>
      </w:pPr>
      <w:r w:rsidRPr="00D9290F">
        <w:rPr>
          <w:snapToGrid w:val="0"/>
        </w:rPr>
        <w:t>Пункт 22 «</w:t>
      </w:r>
      <w:r w:rsidRPr="00D9290F"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</w:t>
      </w:r>
      <w:r w:rsidR="000455FF" w:rsidRPr="000455FF">
        <w:rPr>
          <w:highlight w:val="yellow"/>
        </w:rPr>
        <w:t>31 октября</w:t>
      </w:r>
      <w:r w:rsidR="000455FF">
        <w:t xml:space="preserve"> </w:t>
      </w:r>
      <w:r w:rsidRPr="00D9290F">
        <w:t>2014 г. Организатор вправе, при необходимости, изменить данный срок</w:t>
      </w:r>
      <w:r w:rsidRPr="00D9290F">
        <w:rPr>
          <w:snapToGrid w:val="0"/>
        </w:rPr>
        <w:t>»</w:t>
      </w:r>
    </w:p>
    <w:p w:rsidR="00163C2C" w:rsidRPr="00197EBF" w:rsidRDefault="00163C2C" w:rsidP="00197EBF">
      <w:pPr>
        <w:autoSpaceDE w:val="0"/>
        <w:autoSpaceDN w:val="0"/>
        <w:spacing w:before="60"/>
        <w:ind w:left="567"/>
        <w:contextualSpacing/>
        <w:jc w:val="both"/>
        <w:rPr>
          <w:b/>
          <w:snapToGrid w:val="0"/>
          <w:u w:val="single"/>
        </w:rPr>
      </w:pPr>
      <w:r w:rsidRPr="00197EBF">
        <w:rPr>
          <w:b/>
          <w:snapToGrid w:val="0"/>
          <w:u w:val="single"/>
        </w:rPr>
        <w:t>В Закупочную документацию:</w:t>
      </w:r>
    </w:p>
    <w:p w:rsidR="00CA58BB" w:rsidRPr="00D9290F" w:rsidRDefault="00163C2C" w:rsidP="00975B9A">
      <w:pPr>
        <w:pStyle w:val="Tabletext"/>
        <w:numPr>
          <w:ilvl w:val="0"/>
          <w:numId w:val="9"/>
        </w:numPr>
        <w:tabs>
          <w:tab w:val="left" w:pos="1134"/>
        </w:tabs>
        <w:ind w:left="0" w:firstLine="567"/>
        <w:contextualSpacing/>
        <w:rPr>
          <w:color w:val="000000"/>
          <w:sz w:val="24"/>
        </w:rPr>
      </w:pPr>
      <w:r w:rsidRPr="00D9290F">
        <w:rPr>
          <w:snapToGrid w:val="0"/>
          <w:sz w:val="24"/>
        </w:rPr>
        <w:t>Пункт 4.1.</w:t>
      </w:r>
      <w:r w:rsidR="00C5032E" w:rsidRPr="00D9290F">
        <w:rPr>
          <w:snapToGrid w:val="0"/>
          <w:sz w:val="24"/>
        </w:rPr>
        <w:t>7</w:t>
      </w:r>
      <w:r w:rsidRPr="00D9290F">
        <w:rPr>
          <w:sz w:val="24"/>
        </w:rPr>
        <w:t xml:space="preserve"> </w:t>
      </w:r>
      <w:r w:rsidR="00CA58BB" w:rsidRPr="00D9290F">
        <w:rPr>
          <w:sz w:val="24"/>
        </w:rPr>
        <w:t xml:space="preserve"> </w:t>
      </w:r>
      <w:r w:rsidR="00C5032E" w:rsidRPr="00D9290F">
        <w:rPr>
          <w:sz w:val="24"/>
        </w:rPr>
        <w:t xml:space="preserve">Место, условия и </w:t>
      </w:r>
      <w:r w:rsidR="00C5032E" w:rsidRPr="00D9290F">
        <w:rPr>
          <w:sz w:val="24"/>
          <w:highlight w:val="yellow"/>
        </w:rPr>
        <w:t>сроки (периоды) поставок</w:t>
      </w:r>
      <w:r w:rsidR="00C5032E" w:rsidRPr="00D9290F">
        <w:rPr>
          <w:sz w:val="24"/>
        </w:rPr>
        <w:t xml:space="preserve"> товаров (выполнения работ, оказания услуг)</w:t>
      </w:r>
      <w:r w:rsidR="00CA58BB" w:rsidRPr="00D9290F">
        <w:rPr>
          <w:sz w:val="24"/>
        </w:rPr>
        <w:t>: «</w:t>
      </w:r>
      <w:r w:rsidR="00B83A14" w:rsidRPr="00D9290F">
        <w:rPr>
          <w:sz w:val="24"/>
        </w:rPr>
        <w:t xml:space="preserve">до </w:t>
      </w:r>
      <w:r w:rsidR="00B83A14" w:rsidRPr="00D9290F">
        <w:rPr>
          <w:sz w:val="24"/>
          <w:highlight w:val="yellow"/>
        </w:rPr>
        <w:t>25</w:t>
      </w:r>
      <w:r w:rsidR="00B83A14" w:rsidRPr="00D9290F">
        <w:rPr>
          <w:sz w:val="24"/>
        </w:rPr>
        <w:t>.12.2014г. с возможностью  досрочной поставки</w:t>
      </w:r>
      <w:r w:rsidR="00CA58BB" w:rsidRPr="00D9290F">
        <w:rPr>
          <w:sz w:val="24"/>
        </w:rPr>
        <w:t>».</w:t>
      </w:r>
    </w:p>
    <w:p w:rsidR="00163C2C" w:rsidRPr="00D9290F" w:rsidRDefault="00CA58BB" w:rsidP="00975B9A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60"/>
        <w:ind w:left="0" w:firstLine="567"/>
        <w:jc w:val="both"/>
        <w:rPr>
          <w:snapToGrid w:val="0"/>
        </w:rPr>
      </w:pPr>
      <w:r w:rsidRPr="00D9290F">
        <w:rPr>
          <w:snapToGrid w:val="0"/>
        </w:rPr>
        <w:t xml:space="preserve"> Пункт </w:t>
      </w:r>
      <w:r w:rsidR="00B83A14" w:rsidRPr="00D9290F">
        <w:rPr>
          <w:snapToGrid w:val="0"/>
        </w:rPr>
        <w:t>4.1.18</w:t>
      </w:r>
      <w:r w:rsidRPr="00D9290F">
        <w:rPr>
          <w:snapToGrid w:val="0"/>
        </w:rPr>
        <w:t xml:space="preserve">  </w:t>
      </w:r>
      <w:r w:rsidR="00B83A14" w:rsidRPr="00D9290F">
        <w:t>Срок подачи Конкурсных заявок на участие в конкурсе</w:t>
      </w:r>
      <w:r w:rsidRPr="00D9290F">
        <w:t>: «</w:t>
      </w:r>
      <w:r w:rsidR="00B83A14" w:rsidRPr="00D9290F">
        <w:t xml:space="preserve">Дата окончания подачи заявок на участие в конкурсе: </w:t>
      </w:r>
      <w:r w:rsidR="00B83A14" w:rsidRPr="00D9290F">
        <w:rPr>
          <w:i/>
        </w:rPr>
        <w:t xml:space="preserve">15:00 часов местного (благовещенского) времени (09:00 часов Московского времени) </w:t>
      </w:r>
      <w:r w:rsidR="00B83A14" w:rsidRPr="00D9290F">
        <w:rPr>
          <w:i/>
          <w:highlight w:val="yellow"/>
        </w:rPr>
        <w:t>«</w:t>
      </w:r>
      <w:r w:rsidR="000455FF">
        <w:rPr>
          <w:i/>
          <w:highlight w:val="yellow"/>
        </w:rPr>
        <w:t>23</w:t>
      </w:r>
      <w:r w:rsidR="00B83A14" w:rsidRPr="00D9290F">
        <w:rPr>
          <w:i/>
          <w:highlight w:val="yellow"/>
        </w:rPr>
        <w:t>»</w:t>
      </w:r>
      <w:r w:rsidR="00B83A14" w:rsidRPr="00D9290F">
        <w:rPr>
          <w:i/>
        </w:rPr>
        <w:t xml:space="preserve">  сентября 2014 года</w:t>
      </w:r>
      <w:proofErr w:type="gramStart"/>
      <w:r w:rsidR="00B83A14" w:rsidRPr="00D9290F">
        <w:rPr>
          <w:i/>
        </w:rPr>
        <w:t>.</w:t>
      </w:r>
      <w:r w:rsidRPr="00D9290F">
        <w:rPr>
          <w:color w:val="000000"/>
        </w:rPr>
        <w:t>»</w:t>
      </w:r>
      <w:proofErr w:type="gramEnd"/>
    </w:p>
    <w:p w:rsidR="00CA58BB" w:rsidRPr="00D9290F" w:rsidRDefault="00CA58BB" w:rsidP="00975B9A">
      <w:pPr>
        <w:pStyle w:val="Tabletext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60"/>
        <w:ind w:left="0" w:firstLine="567"/>
        <w:contextualSpacing/>
        <w:rPr>
          <w:i/>
          <w:color w:val="000000"/>
          <w:sz w:val="24"/>
        </w:rPr>
      </w:pPr>
      <w:r w:rsidRPr="00D9290F">
        <w:rPr>
          <w:snapToGrid w:val="0"/>
          <w:sz w:val="24"/>
        </w:rPr>
        <w:t xml:space="preserve"> Пункт 4.1.</w:t>
      </w:r>
      <w:r w:rsidR="00B83A14" w:rsidRPr="00D9290F">
        <w:rPr>
          <w:snapToGrid w:val="0"/>
          <w:sz w:val="24"/>
        </w:rPr>
        <w:t>20</w:t>
      </w:r>
      <w:r w:rsidRPr="00D9290F">
        <w:rPr>
          <w:snapToGrid w:val="0"/>
          <w:sz w:val="24"/>
        </w:rPr>
        <w:t xml:space="preserve">  </w:t>
      </w:r>
      <w:r w:rsidR="00B83A14" w:rsidRPr="00D9290F">
        <w:rPr>
          <w:sz w:val="24"/>
        </w:rPr>
        <w:t>Дата, время и место вскрытия конвертов с Конкурсными заявками на участие в конкурсе</w:t>
      </w:r>
      <w:r w:rsidRPr="00D9290F">
        <w:rPr>
          <w:sz w:val="24"/>
        </w:rPr>
        <w:t>: «</w:t>
      </w:r>
      <w:r w:rsidR="00B83A14" w:rsidRPr="00D9290F">
        <w:rPr>
          <w:sz w:val="24"/>
        </w:rPr>
        <w:t>Вскрытие конвертов с заявками участников будет происходить на электронной торговой площадке в</w:t>
      </w:r>
      <w:r w:rsidR="00B83A14" w:rsidRPr="00D9290F">
        <w:rPr>
          <w:i/>
          <w:sz w:val="24"/>
        </w:rPr>
        <w:t xml:space="preserve"> 15:00 часов местного (благовещенского) времени (09:00 часов Московского времени) «</w:t>
      </w:r>
      <w:r w:rsidR="000455FF" w:rsidRPr="000455FF">
        <w:rPr>
          <w:i/>
          <w:sz w:val="24"/>
          <w:highlight w:val="yellow"/>
        </w:rPr>
        <w:t>23</w:t>
      </w:r>
      <w:r w:rsidR="00B83A14" w:rsidRPr="00D9290F">
        <w:rPr>
          <w:i/>
          <w:sz w:val="24"/>
        </w:rPr>
        <w:t>» сентября 2014 года в порядке, предусмотренном регламентом ЭТП.</w:t>
      </w:r>
      <w:r w:rsidRPr="00D9290F">
        <w:rPr>
          <w:i/>
          <w:color w:val="000000"/>
          <w:sz w:val="24"/>
        </w:rPr>
        <w:t>».</w:t>
      </w:r>
    </w:p>
    <w:p w:rsidR="00975B9A" w:rsidRPr="00D9290F" w:rsidRDefault="002E34FD" w:rsidP="00AE6FE9">
      <w:pPr>
        <w:pStyle w:val="Tabletext"/>
        <w:numPr>
          <w:ilvl w:val="0"/>
          <w:numId w:val="9"/>
        </w:numPr>
        <w:tabs>
          <w:tab w:val="left" w:pos="993"/>
        </w:tabs>
        <w:ind w:left="284" w:firstLine="283"/>
        <w:contextualSpacing/>
        <w:rPr>
          <w:rFonts w:eastAsia="Geneva"/>
          <w:b/>
          <w:noProof/>
          <w:sz w:val="24"/>
          <w:lang w:eastAsia="en-US"/>
        </w:rPr>
      </w:pPr>
      <w:r w:rsidRPr="00D9290F">
        <w:rPr>
          <w:snapToGrid w:val="0"/>
          <w:sz w:val="24"/>
        </w:rPr>
        <w:lastRenderedPageBreak/>
        <w:t xml:space="preserve">  </w:t>
      </w:r>
      <w:r w:rsidR="00CA58BB" w:rsidRPr="00D9290F">
        <w:rPr>
          <w:snapToGrid w:val="0"/>
          <w:sz w:val="24"/>
        </w:rPr>
        <w:t xml:space="preserve"> Пункт 4.1.</w:t>
      </w:r>
      <w:r w:rsidR="0043066D" w:rsidRPr="00D9290F">
        <w:rPr>
          <w:snapToGrid w:val="0"/>
          <w:sz w:val="24"/>
        </w:rPr>
        <w:t>21</w:t>
      </w:r>
      <w:r w:rsidR="00CA58BB" w:rsidRPr="00D9290F">
        <w:rPr>
          <w:snapToGrid w:val="0"/>
          <w:sz w:val="24"/>
        </w:rPr>
        <w:t xml:space="preserve"> </w:t>
      </w:r>
      <w:r w:rsidR="0043066D" w:rsidRPr="00D9290F">
        <w:rPr>
          <w:sz w:val="24"/>
        </w:rPr>
        <w:t>Критерии оценки Конкурсных заявок на участие в конкурсе</w:t>
      </w:r>
      <w:r w:rsidR="00CA58BB" w:rsidRPr="00D9290F">
        <w:rPr>
          <w:sz w:val="24"/>
        </w:rPr>
        <w:t xml:space="preserve">:  </w:t>
      </w:r>
      <w:r w:rsidR="0043066D" w:rsidRPr="00D9290F">
        <w:rPr>
          <w:sz w:val="24"/>
        </w:rPr>
        <w:t>«Неценовые критерии</w:t>
      </w:r>
      <w:r w:rsidR="00975B9A" w:rsidRPr="00D9290F">
        <w:rPr>
          <w:sz w:val="24"/>
        </w:rPr>
        <w:t>»</w:t>
      </w:r>
      <w:r w:rsidR="0043066D" w:rsidRPr="00D9290F">
        <w:rPr>
          <w:sz w:val="24"/>
        </w:rPr>
        <w:t>:</w:t>
      </w:r>
      <w:r w:rsidR="0043066D" w:rsidRPr="00D9290F">
        <w:rPr>
          <w:b/>
          <w:i/>
          <w:sz w:val="24"/>
        </w:rPr>
        <w:t xml:space="preserve"> </w:t>
      </w:r>
    </w:p>
    <w:p w:rsidR="0043066D" w:rsidRPr="00D9290F" w:rsidRDefault="0043066D" w:rsidP="00975B9A">
      <w:pPr>
        <w:pStyle w:val="Tabletext"/>
        <w:tabs>
          <w:tab w:val="left" w:pos="993"/>
        </w:tabs>
        <w:ind w:left="284"/>
        <w:contextualSpacing/>
        <w:rPr>
          <w:rFonts w:eastAsia="Geneva"/>
          <w:b/>
          <w:noProof/>
          <w:sz w:val="24"/>
          <w:lang w:eastAsia="en-US"/>
        </w:rPr>
      </w:pPr>
      <w:r w:rsidRPr="00D9290F">
        <w:rPr>
          <w:rFonts w:eastAsia="Geneva"/>
          <w:b/>
          <w:noProof/>
          <w:sz w:val="24"/>
          <w:lang w:eastAsia="en-US"/>
        </w:rPr>
        <w:t>Организационно-технические предложения -100%</w:t>
      </w:r>
    </w:p>
    <w:p w:rsidR="0043066D" w:rsidRPr="00D9290F" w:rsidRDefault="0043066D" w:rsidP="00AE6FE9">
      <w:pPr>
        <w:pStyle w:val="Tabletext"/>
        <w:ind w:left="214"/>
        <w:contextualSpacing/>
        <w:rPr>
          <w:b/>
          <w:bCs/>
          <w:i/>
          <w:iCs/>
          <w:sz w:val="24"/>
        </w:rPr>
      </w:pPr>
      <w:r w:rsidRPr="00D9290F">
        <w:rPr>
          <w:snapToGrid w:val="0"/>
          <w:sz w:val="24"/>
        </w:rPr>
        <w:t>-</w:t>
      </w:r>
      <w:r w:rsidRPr="00D9290F">
        <w:rPr>
          <w:rFonts w:eastAsia="Geneva"/>
          <w:b/>
          <w:noProof/>
          <w:sz w:val="24"/>
          <w:lang w:eastAsia="en-US"/>
        </w:rPr>
        <w:t xml:space="preserve"> </w:t>
      </w:r>
      <w:r w:rsidRPr="00D9290F">
        <w:rPr>
          <w:b/>
          <w:bCs/>
          <w:i/>
          <w:iCs/>
          <w:sz w:val="24"/>
          <w:highlight w:val="yellow"/>
        </w:rPr>
        <w:t>Условия оплаты:</w:t>
      </w:r>
      <w:r w:rsidRPr="00D9290F">
        <w:rPr>
          <w:b/>
          <w:bCs/>
          <w:i/>
          <w:iCs/>
          <w:sz w:val="24"/>
        </w:rPr>
        <w:t xml:space="preserve"> «</w:t>
      </w:r>
      <w:r w:rsidRPr="00D9290F">
        <w:rPr>
          <w:sz w:val="24"/>
        </w:rPr>
        <w:t>Авансовые платежи выплачиваются Заказчиком в размере ______ (не более 30 %)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</w:t>
      </w:r>
      <w:r w:rsidR="002E34FD" w:rsidRPr="00D9290F">
        <w:rPr>
          <w:sz w:val="24"/>
        </w:rPr>
        <w:t>- 50%</w:t>
      </w:r>
      <w:r w:rsidRPr="00D9290F">
        <w:rPr>
          <w:b/>
          <w:bCs/>
          <w:i/>
          <w:iCs/>
          <w:sz w:val="24"/>
        </w:rPr>
        <w:t>»</w:t>
      </w:r>
    </w:p>
    <w:p w:rsidR="00C74E0B" w:rsidRPr="00D9290F" w:rsidRDefault="002E34FD" w:rsidP="00AE6FE9">
      <w:pPr>
        <w:pStyle w:val="Tabletext"/>
        <w:ind w:left="214"/>
        <w:contextualSpacing/>
        <w:rPr>
          <w:b/>
          <w:bCs/>
          <w:i/>
          <w:iCs/>
          <w:sz w:val="24"/>
        </w:rPr>
      </w:pPr>
      <w:r w:rsidRPr="00D9290F">
        <w:rPr>
          <w:b/>
          <w:bCs/>
          <w:i/>
          <w:iCs/>
          <w:sz w:val="24"/>
        </w:rPr>
        <w:t xml:space="preserve"> </w:t>
      </w:r>
      <w:r w:rsidR="0043066D" w:rsidRPr="00D9290F">
        <w:rPr>
          <w:b/>
          <w:bCs/>
          <w:i/>
          <w:iCs/>
          <w:sz w:val="24"/>
        </w:rPr>
        <w:t>-</w:t>
      </w:r>
      <w:r w:rsidRPr="00D9290F">
        <w:rPr>
          <w:b/>
          <w:bCs/>
          <w:i/>
          <w:iCs/>
          <w:sz w:val="24"/>
        </w:rPr>
        <w:t xml:space="preserve"> </w:t>
      </w:r>
      <w:r w:rsidRPr="00D9290F">
        <w:rPr>
          <w:b/>
          <w:bCs/>
          <w:i/>
          <w:iCs/>
          <w:sz w:val="24"/>
          <w:highlight w:val="yellow"/>
        </w:rPr>
        <w:t>Требования к гарантийным обязательствам</w:t>
      </w:r>
      <w:r w:rsidRPr="00D9290F">
        <w:rPr>
          <w:b/>
          <w:bCs/>
          <w:i/>
          <w:iCs/>
          <w:sz w:val="24"/>
        </w:rPr>
        <w:t xml:space="preserve">: </w:t>
      </w:r>
      <w:r w:rsidRPr="00D9290F">
        <w:rPr>
          <w:color w:val="000000"/>
          <w:sz w:val="24"/>
        </w:rPr>
        <w:t> </w:t>
      </w:r>
      <w:r w:rsidR="0043066D" w:rsidRPr="00D9290F">
        <w:rPr>
          <w:b/>
          <w:bCs/>
          <w:i/>
          <w:iCs/>
          <w:sz w:val="24"/>
        </w:rPr>
        <w:t xml:space="preserve"> «</w:t>
      </w:r>
      <w:r w:rsidRPr="00D9290F">
        <w:rPr>
          <w:sz w:val="24"/>
        </w:rPr>
        <w:t xml:space="preserve">Гарантия на поставляемое оборудование должна быть не менее 12 месяцев. Время начала исчисления гарантийного срока – с момента ввода оборудования в эксплуатацию. Поставщик должен за свой счет и в сроки, согласованные с Заказчиком, устранять любые дефекты в поставляемом оборудовании, материалах и выполняемых работах, выявленных в период гарантийного срока. </w:t>
      </w:r>
      <w:proofErr w:type="gramStart"/>
      <w:r w:rsidRPr="00D9290F">
        <w:rPr>
          <w:sz w:val="24"/>
        </w:rPr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</w:t>
      </w:r>
      <w:proofErr w:type="gramEnd"/>
      <w:r w:rsidRPr="00D9290F">
        <w:rPr>
          <w:sz w:val="24"/>
        </w:rPr>
        <w:t xml:space="preserve"> Гарантийный срок в этом случае продлевается соответственно на период устранения дефектов. -50%</w:t>
      </w:r>
      <w:r w:rsidR="0043066D" w:rsidRPr="00D9290F">
        <w:rPr>
          <w:b/>
          <w:bCs/>
          <w:i/>
          <w:iCs/>
          <w:sz w:val="24"/>
        </w:rPr>
        <w:t>»</w:t>
      </w:r>
      <w:r w:rsidRPr="00D9290F">
        <w:rPr>
          <w:b/>
          <w:bCs/>
          <w:i/>
          <w:iCs/>
          <w:sz w:val="24"/>
        </w:rPr>
        <w:t>.</w:t>
      </w:r>
    </w:p>
    <w:p w:rsidR="002E34FD" w:rsidRPr="00D9290F" w:rsidRDefault="002E34FD" w:rsidP="00AE6FE9">
      <w:pPr>
        <w:pStyle w:val="Tabletext"/>
        <w:ind w:left="567"/>
        <w:contextualSpacing/>
        <w:rPr>
          <w:rFonts w:eastAsia="Geneva"/>
          <w:b/>
          <w:noProof/>
          <w:sz w:val="24"/>
          <w:lang w:eastAsia="en-US"/>
        </w:rPr>
      </w:pPr>
      <w:r w:rsidRPr="00D9290F">
        <w:rPr>
          <w:b/>
          <w:bCs/>
          <w:iCs/>
          <w:sz w:val="24"/>
        </w:rPr>
        <w:t xml:space="preserve">5. </w:t>
      </w:r>
      <w:r w:rsidRPr="00D9290F">
        <w:rPr>
          <w:bCs/>
          <w:iCs/>
          <w:sz w:val="24"/>
        </w:rPr>
        <w:t>Пункт 4.1.22</w:t>
      </w:r>
      <w:r w:rsidR="000455FF">
        <w:rPr>
          <w:bCs/>
          <w:iCs/>
          <w:sz w:val="24"/>
        </w:rPr>
        <w:t xml:space="preserve"> </w:t>
      </w:r>
      <w:bookmarkStart w:id="0" w:name="_GoBack"/>
      <w:bookmarkEnd w:id="0"/>
      <w:r w:rsidRPr="00D9290F">
        <w:rPr>
          <w:sz w:val="24"/>
        </w:rPr>
        <w:t xml:space="preserve"> Место и дата рассмотрения заявок: «</w:t>
      </w:r>
      <w:r w:rsidR="000455FF">
        <w:rPr>
          <w:sz w:val="24"/>
        </w:rPr>
        <w:t xml:space="preserve"> </w:t>
      </w:r>
      <w:r w:rsidRPr="00D9290F">
        <w:rPr>
          <w:sz w:val="24"/>
        </w:rPr>
        <w:t xml:space="preserve">до </w:t>
      </w:r>
      <w:r w:rsidR="000455FF" w:rsidRPr="000455FF">
        <w:rPr>
          <w:b/>
          <w:sz w:val="24"/>
          <w:highlight w:val="yellow"/>
        </w:rPr>
        <w:t>13</w:t>
      </w:r>
      <w:r w:rsidR="000455FF">
        <w:rPr>
          <w:b/>
          <w:sz w:val="24"/>
        </w:rPr>
        <w:t xml:space="preserve"> </w:t>
      </w:r>
      <w:r w:rsidRPr="00D9290F">
        <w:rPr>
          <w:b/>
          <w:sz w:val="24"/>
        </w:rPr>
        <w:t>октября</w:t>
      </w:r>
      <w:r w:rsidRPr="00D9290F">
        <w:rPr>
          <w:sz w:val="24"/>
        </w:rPr>
        <w:t xml:space="preserve">  </w:t>
      </w:r>
      <w:r w:rsidRPr="00D9290F">
        <w:rPr>
          <w:b/>
          <w:sz w:val="24"/>
        </w:rPr>
        <w:t>2014 г.</w:t>
      </w:r>
      <w:r w:rsidRPr="00D9290F">
        <w:rPr>
          <w:sz w:val="24"/>
        </w:rPr>
        <w:t>»</w:t>
      </w:r>
    </w:p>
    <w:p w:rsidR="00C74E0B" w:rsidRPr="00D9290F" w:rsidRDefault="002E34FD" w:rsidP="00AE6FE9">
      <w:pPr>
        <w:tabs>
          <w:tab w:val="left" w:pos="284"/>
        </w:tabs>
        <w:ind w:left="284" w:firstLine="283"/>
        <w:contextualSpacing/>
        <w:jc w:val="both"/>
      </w:pPr>
      <w:r w:rsidRPr="00D9290F">
        <w:rPr>
          <w:b/>
        </w:rPr>
        <w:t>6.</w:t>
      </w:r>
      <w:r w:rsidRPr="00D9290F">
        <w:t xml:space="preserve"> Пункт  4.1.23 Подписание Протокола о р</w:t>
      </w:r>
      <w:r w:rsidR="00AE6FE9" w:rsidRPr="00D9290F">
        <w:t xml:space="preserve">езультатах конкурса назначается </w:t>
      </w:r>
      <w:r w:rsidRPr="00D9290F">
        <w:t>(предварительно) на: «</w:t>
      </w:r>
      <w:r w:rsidR="000455FF" w:rsidRPr="000455FF">
        <w:rPr>
          <w:b/>
          <w:highlight w:val="yellow"/>
        </w:rPr>
        <w:t>31.10</w:t>
      </w:r>
      <w:r w:rsidRPr="000455FF">
        <w:rPr>
          <w:b/>
          <w:highlight w:val="yellow"/>
        </w:rPr>
        <w:t>.</w:t>
      </w:r>
      <w:r w:rsidRPr="00D9290F">
        <w:rPr>
          <w:b/>
        </w:rPr>
        <w:t>2014</w:t>
      </w:r>
      <w:r w:rsidRPr="00D9290F">
        <w:rPr>
          <w:b/>
          <w:i/>
        </w:rPr>
        <w:t xml:space="preserve"> года</w:t>
      </w:r>
      <w:r w:rsidRPr="00D9290F">
        <w:t>»</w:t>
      </w:r>
    </w:p>
    <w:p w:rsidR="00AE6FE9" w:rsidRPr="00D9290F" w:rsidRDefault="00661B72" w:rsidP="00AE6FE9">
      <w:pPr>
        <w:tabs>
          <w:tab w:val="left" w:pos="426"/>
        </w:tabs>
        <w:contextualSpacing/>
        <w:jc w:val="both"/>
      </w:pPr>
      <w:r w:rsidRPr="00D9290F">
        <w:tab/>
      </w:r>
      <w:r w:rsidR="00AE6FE9" w:rsidRPr="00D9290F">
        <w:t xml:space="preserve">   </w:t>
      </w:r>
      <w:r w:rsidR="002E34FD" w:rsidRPr="00D9290F">
        <w:rPr>
          <w:b/>
        </w:rPr>
        <w:t>7</w:t>
      </w:r>
      <w:r w:rsidR="002E34FD" w:rsidRPr="00D9290F">
        <w:t xml:space="preserve">. </w:t>
      </w:r>
      <w:r w:rsidR="002E34FD" w:rsidRPr="00D9290F">
        <w:rPr>
          <w:bCs/>
          <w:iCs/>
        </w:rPr>
        <w:t>Пункт 4.1.26</w:t>
      </w:r>
      <w:r w:rsidR="002E34FD" w:rsidRPr="00D9290F">
        <w:t xml:space="preserve"> </w:t>
      </w:r>
      <w:r w:rsidR="00AE6FE9" w:rsidRPr="00D9290F">
        <w:t>С</w:t>
      </w:r>
      <w:r w:rsidR="002E34FD" w:rsidRPr="00D9290F">
        <w:t>рок внесения денежных сре</w:t>
      </w:r>
      <w:proofErr w:type="gramStart"/>
      <w:r w:rsidR="002E34FD" w:rsidRPr="00D9290F">
        <w:t>дств в к</w:t>
      </w:r>
      <w:proofErr w:type="gramEnd"/>
      <w:r w:rsidR="002E34FD" w:rsidRPr="00D9290F">
        <w:t xml:space="preserve">ачестве обеспечения: </w:t>
      </w:r>
      <w:r w:rsidR="00AE6FE9" w:rsidRPr="00D9290F">
        <w:t xml:space="preserve">     </w:t>
      </w:r>
    </w:p>
    <w:p w:rsidR="00F60214" w:rsidRPr="00D9290F" w:rsidRDefault="00AE6FE9" w:rsidP="00AE6FE9">
      <w:pPr>
        <w:tabs>
          <w:tab w:val="left" w:pos="426"/>
        </w:tabs>
        <w:contextualSpacing/>
        <w:jc w:val="both"/>
      </w:pPr>
      <w:r w:rsidRPr="00D9290F">
        <w:t xml:space="preserve">   </w:t>
      </w:r>
      <w:r w:rsidR="002E34FD" w:rsidRPr="00D9290F">
        <w:rPr>
          <w:b/>
        </w:rPr>
        <w:t>«</w:t>
      </w:r>
      <w:r w:rsidR="000455FF" w:rsidRPr="000455FF">
        <w:rPr>
          <w:b/>
          <w:highlight w:val="yellow"/>
        </w:rPr>
        <w:t>23</w:t>
      </w:r>
      <w:r w:rsidR="002E34FD" w:rsidRPr="00D9290F">
        <w:rPr>
          <w:b/>
        </w:rPr>
        <w:t>» сентября 2014</w:t>
      </w:r>
      <w:r w:rsidR="002E34FD" w:rsidRPr="00D9290F">
        <w:t xml:space="preserve"> года</w:t>
      </w:r>
      <w:r w:rsidRPr="00D9290F">
        <w:t>».</w:t>
      </w:r>
    </w:p>
    <w:p w:rsidR="00AE6FE9" w:rsidRPr="00D9290F" w:rsidRDefault="00AE6FE9" w:rsidP="00D9290F">
      <w:pPr>
        <w:pStyle w:val="ab"/>
        <w:numPr>
          <w:ilvl w:val="0"/>
          <w:numId w:val="14"/>
        </w:numPr>
        <w:tabs>
          <w:tab w:val="left" w:pos="426"/>
          <w:tab w:val="left" w:pos="851"/>
        </w:tabs>
        <w:ind w:left="142" w:firstLine="425"/>
        <w:jc w:val="both"/>
      </w:pPr>
      <w:r w:rsidRPr="00D9290F">
        <w:t>Пункт 4.1.31 Форма, сроки и порядок оплаты поставки товаров (выполнения работ, оказания услуг): «Авансовые платежи выплачиваются Заказчиком в размере ______ (не более 30 %)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приема-передачи»</w:t>
      </w:r>
    </w:p>
    <w:p w:rsidR="00AE6FE9" w:rsidRDefault="00D9290F" w:rsidP="00741AAE">
      <w:pPr>
        <w:pStyle w:val="a3"/>
        <w:numPr>
          <w:ilvl w:val="0"/>
          <w:numId w:val="14"/>
        </w:numPr>
        <w:tabs>
          <w:tab w:val="clear" w:pos="4153"/>
          <w:tab w:val="left" w:pos="708"/>
          <w:tab w:val="center" w:pos="851"/>
        </w:tabs>
        <w:ind w:left="142" w:firstLine="425"/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u w:val="single"/>
        </w:rPr>
        <w:t>П</w:t>
      </w:r>
      <w:r w:rsidRPr="00D9290F">
        <w:rPr>
          <w:b/>
          <w:bCs/>
          <w:i/>
          <w:iCs/>
          <w:noProof/>
          <w:sz w:val="26"/>
          <w:szCs w:val="26"/>
          <w:u w:val="single"/>
        </w:rPr>
        <w:t>риложение № 1 «Техническое задание»</w:t>
      </w:r>
      <w:r>
        <w:rPr>
          <w:b/>
          <w:bCs/>
          <w:i/>
          <w:iCs/>
          <w:noProof/>
          <w:sz w:val="26"/>
          <w:szCs w:val="26"/>
        </w:rPr>
        <w:t xml:space="preserve"> к Закупочной документации заменить </w:t>
      </w:r>
      <w:r w:rsidR="00741AAE">
        <w:rPr>
          <w:b/>
          <w:bCs/>
          <w:i/>
          <w:iCs/>
          <w:noProof/>
          <w:sz w:val="26"/>
          <w:szCs w:val="26"/>
        </w:rPr>
        <w:t xml:space="preserve">на приложение </w:t>
      </w:r>
      <w:r w:rsidR="00741AAE" w:rsidRPr="00BD311D">
        <w:rPr>
          <w:b/>
          <w:bCs/>
          <w:i/>
          <w:iCs/>
          <w:noProof/>
          <w:sz w:val="26"/>
          <w:szCs w:val="26"/>
          <w:highlight w:val="yellow"/>
        </w:rPr>
        <w:t>№ 1-А</w:t>
      </w:r>
      <w:r w:rsidR="00741AAE">
        <w:rPr>
          <w:b/>
          <w:bCs/>
          <w:i/>
          <w:iCs/>
          <w:noProof/>
          <w:sz w:val="26"/>
          <w:szCs w:val="26"/>
        </w:rPr>
        <w:t xml:space="preserve"> </w:t>
      </w:r>
      <w:r w:rsidR="00BD311D" w:rsidRPr="00D9290F">
        <w:rPr>
          <w:b/>
          <w:bCs/>
          <w:i/>
          <w:iCs/>
          <w:noProof/>
          <w:sz w:val="26"/>
          <w:szCs w:val="26"/>
          <w:u w:val="single"/>
        </w:rPr>
        <w:t>«Техническое задание»</w:t>
      </w:r>
      <w:r w:rsidR="00BD311D">
        <w:rPr>
          <w:b/>
          <w:bCs/>
          <w:i/>
          <w:iCs/>
          <w:noProof/>
          <w:sz w:val="26"/>
          <w:szCs w:val="26"/>
        </w:rPr>
        <w:t xml:space="preserve"> </w:t>
      </w:r>
      <w:r w:rsidR="00741AAE">
        <w:rPr>
          <w:b/>
          <w:bCs/>
          <w:i/>
          <w:iCs/>
          <w:noProof/>
          <w:sz w:val="26"/>
          <w:szCs w:val="26"/>
        </w:rPr>
        <w:t xml:space="preserve">от </w:t>
      </w:r>
      <w:r w:rsidR="00741AAE" w:rsidRPr="00741AAE">
        <w:rPr>
          <w:b/>
          <w:bCs/>
          <w:color w:val="000000"/>
          <w:sz w:val="26"/>
          <w:szCs w:val="26"/>
          <w:highlight w:val="yellow"/>
        </w:rPr>
        <w:t>08.09.2014г</w:t>
      </w:r>
      <w:r>
        <w:rPr>
          <w:b/>
          <w:bCs/>
          <w:i/>
          <w:iCs/>
          <w:noProof/>
          <w:sz w:val="26"/>
          <w:szCs w:val="26"/>
        </w:rPr>
        <w:t>.</w:t>
      </w:r>
    </w:p>
    <w:p w:rsidR="00AE6FE9" w:rsidRDefault="00AE6FE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AE6FE9" w:rsidRDefault="00AE6FE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AE6FE9" w:rsidRDefault="00AE6FE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F60214" w:rsidRPr="00E91E6B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E91E6B">
        <w:rPr>
          <w:b/>
          <w:bCs/>
          <w:i/>
          <w:iCs/>
          <w:noProof/>
          <w:sz w:val="22"/>
          <w:szCs w:val="22"/>
        </w:rPr>
        <w:t>П</w:t>
      </w:r>
      <w:r w:rsidR="00F60214" w:rsidRPr="00E91E6B">
        <w:rPr>
          <w:b/>
          <w:bCs/>
          <w:i/>
          <w:iCs/>
          <w:noProof/>
          <w:sz w:val="22"/>
          <w:szCs w:val="22"/>
        </w:rPr>
        <w:t>редседател</w:t>
      </w:r>
      <w:r w:rsidR="00C74E0B" w:rsidRPr="00E91E6B">
        <w:rPr>
          <w:b/>
          <w:bCs/>
          <w:i/>
          <w:iCs/>
          <w:noProof/>
          <w:sz w:val="22"/>
          <w:szCs w:val="22"/>
        </w:rPr>
        <w:t>ь</w:t>
      </w:r>
      <w:r w:rsidR="00F60214" w:rsidRPr="00E91E6B">
        <w:rPr>
          <w:b/>
          <w:bCs/>
          <w:i/>
          <w:iCs/>
          <w:noProof/>
          <w:sz w:val="22"/>
          <w:szCs w:val="22"/>
        </w:rPr>
        <w:t xml:space="preserve"> Закупочной комиссии</w:t>
      </w:r>
    </w:p>
    <w:p w:rsidR="00F60214" w:rsidRPr="00E91E6B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  <w:r w:rsidRPr="00E91E6B">
        <w:rPr>
          <w:b/>
          <w:bCs/>
          <w:i/>
          <w:color w:val="000000"/>
          <w:sz w:val="22"/>
          <w:szCs w:val="22"/>
        </w:rPr>
        <w:t>ОАО «ДРСК»</w:t>
      </w:r>
      <w:r w:rsidRPr="00E91E6B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</w:t>
      </w:r>
      <w:r w:rsidR="004C13C2" w:rsidRPr="00E91E6B">
        <w:rPr>
          <w:b/>
          <w:bCs/>
          <w:i/>
          <w:iCs/>
          <w:noProof/>
          <w:sz w:val="22"/>
          <w:szCs w:val="22"/>
        </w:rPr>
        <w:t xml:space="preserve">   </w:t>
      </w:r>
      <w:r w:rsidR="008D5500" w:rsidRPr="00E91E6B">
        <w:rPr>
          <w:b/>
          <w:bCs/>
          <w:i/>
          <w:iCs/>
          <w:noProof/>
          <w:sz w:val="22"/>
          <w:szCs w:val="22"/>
        </w:rPr>
        <w:t xml:space="preserve">                       </w:t>
      </w:r>
      <w:r w:rsidRPr="00E91E6B">
        <w:rPr>
          <w:b/>
          <w:bCs/>
          <w:i/>
          <w:iCs/>
          <w:noProof/>
          <w:sz w:val="22"/>
          <w:szCs w:val="22"/>
        </w:rPr>
        <w:t xml:space="preserve">      </w:t>
      </w:r>
      <w:r w:rsidR="00823B26" w:rsidRPr="00E91E6B">
        <w:rPr>
          <w:b/>
          <w:bCs/>
          <w:i/>
          <w:iCs/>
          <w:noProof/>
          <w:sz w:val="22"/>
          <w:szCs w:val="22"/>
        </w:rPr>
        <w:t xml:space="preserve">      </w:t>
      </w:r>
      <w:r w:rsidR="00C74E0B" w:rsidRPr="00E91E6B">
        <w:rPr>
          <w:b/>
          <w:bCs/>
          <w:i/>
          <w:iCs/>
          <w:noProof/>
          <w:sz w:val="22"/>
          <w:szCs w:val="22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975B9A" w:rsidRDefault="00975B9A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975B9A" w:rsidRPr="00E91E6B" w:rsidRDefault="00975B9A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120C40">
        <w:rPr>
          <w:sz w:val="18"/>
          <w:szCs w:val="18"/>
        </w:rPr>
        <w:t>Терёшкина</w:t>
      </w:r>
      <w:proofErr w:type="spellEnd"/>
      <w:r w:rsidR="00120C40">
        <w:rPr>
          <w:sz w:val="18"/>
          <w:szCs w:val="18"/>
        </w:rPr>
        <w:t xml:space="preserve">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0455FF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4DF7312"/>
    <w:multiLevelType w:val="hybridMultilevel"/>
    <w:tmpl w:val="B2C0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354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93776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4264"/>
    <w:multiLevelType w:val="multilevel"/>
    <w:tmpl w:val="3D903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8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41EA8"/>
    <w:multiLevelType w:val="hybridMultilevel"/>
    <w:tmpl w:val="51468060"/>
    <w:lvl w:ilvl="0" w:tplc="A9AEF3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96E87"/>
    <w:multiLevelType w:val="hybridMultilevel"/>
    <w:tmpl w:val="DB247A6A"/>
    <w:lvl w:ilvl="0" w:tplc="AEC2E6C4">
      <w:start w:val="8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26BF4"/>
    <w:multiLevelType w:val="hybridMultilevel"/>
    <w:tmpl w:val="AB86E5F6"/>
    <w:lvl w:ilvl="0" w:tplc="4EA6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55FF"/>
    <w:rsid w:val="000D44AC"/>
    <w:rsid w:val="000E53D9"/>
    <w:rsid w:val="00120C40"/>
    <w:rsid w:val="00151CFC"/>
    <w:rsid w:val="00163C2C"/>
    <w:rsid w:val="00197EBF"/>
    <w:rsid w:val="002B5CD5"/>
    <w:rsid w:val="002E34FD"/>
    <w:rsid w:val="002F3BD6"/>
    <w:rsid w:val="00313576"/>
    <w:rsid w:val="00321705"/>
    <w:rsid w:val="00330DFD"/>
    <w:rsid w:val="00381D95"/>
    <w:rsid w:val="003E3627"/>
    <w:rsid w:val="003F57E7"/>
    <w:rsid w:val="0043066D"/>
    <w:rsid w:val="004842EB"/>
    <w:rsid w:val="004C13C2"/>
    <w:rsid w:val="004C1A87"/>
    <w:rsid w:val="004F2C60"/>
    <w:rsid w:val="00505758"/>
    <w:rsid w:val="00536200"/>
    <w:rsid w:val="00540BBE"/>
    <w:rsid w:val="00661B72"/>
    <w:rsid w:val="00670809"/>
    <w:rsid w:val="00675BC6"/>
    <w:rsid w:val="00741AAE"/>
    <w:rsid w:val="0074399E"/>
    <w:rsid w:val="007A23FC"/>
    <w:rsid w:val="00823B26"/>
    <w:rsid w:val="00864D70"/>
    <w:rsid w:val="008D5500"/>
    <w:rsid w:val="00975B9A"/>
    <w:rsid w:val="009F67BA"/>
    <w:rsid w:val="00A53CCA"/>
    <w:rsid w:val="00AB773E"/>
    <w:rsid w:val="00AE5653"/>
    <w:rsid w:val="00AE6FE9"/>
    <w:rsid w:val="00B156B4"/>
    <w:rsid w:val="00B83A14"/>
    <w:rsid w:val="00BA6AC6"/>
    <w:rsid w:val="00BD311D"/>
    <w:rsid w:val="00C5032E"/>
    <w:rsid w:val="00C74E0B"/>
    <w:rsid w:val="00C77F06"/>
    <w:rsid w:val="00CA58BB"/>
    <w:rsid w:val="00D4657D"/>
    <w:rsid w:val="00D9290F"/>
    <w:rsid w:val="00D95059"/>
    <w:rsid w:val="00DD5C23"/>
    <w:rsid w:val="00E735C1"/>
    <w:rsid w:val="00E91E6B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uiPriority w:val="39"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uiPriority w:val="39"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Терешкина</cp:lastModifiedBy>
  <cp:revision>20</cp:revision>
  <cp:lastPrinted>2014-09-08T03:17:00Z</cp:lastPrinted>
  <dcterms:created xsi:type="dcterms:W3CDTF">2014-03-12T03:45:00Z</dcterms:created>
  <dcterms:modified xsi:type="dcterms:W3CDTF">2014-09-08T03:19:00Z</dcterms:modified>
</cp:coreProperties>
</file>