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1465985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465985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10E64">
              <w:rPr>
                <w:sz w:val="24"/>
                <w:szCs w:val="24"/>
              </w:rPr>
              <w:t>213/УКС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F10E64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10E64">
              <w:rPr>
                <w:sz w:val="24"/>
                <w:szCs w:val="24"/>
              </w:rPr>
              <w:t>28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марта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10E64" w:rsidRPr="00F10E64" w:rsidRDefault="003C690B" w:rsidP="00F10E64">
      <w:pPr>
        <w:spacing w:line="240" w:lineRule="auto"/>
        <w:ind w:firstLine="0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предложений на право заключения Договора на </w:t>
      </w:r>
      <w:r w:rsidR="00F10E64">
        <w:rPr>
          <w:sz w:val="24"/>
          <w:szCs w:val="24"/>
        </w:rPr>
        <w:t xml:space="preserve">выполнение работ: </w:t>
      </w:r>
      <w:r w:rsidRPr="00C02479">
        <w:rPr>
          <w:sz w:val="24"/>
          <w:szCs w:val="24"/>
        </w:rPr>
        <w:t xml:space="preserve"> </w:t>
      </w:r>
      <w:r w:rsidR="00F10E64" w:rsidRPr="00F10E64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КЛ 110 </w:t>
      </w:r>
      <w:proofErr w:type="spellStart"/>
      <w:r w:rsidR="00F10E64" w:rsidRPr="00F10E64">
        <w:rPr>
          <w:b/>
          <w:i/>
          <w:sz w:val="24"/>
          <w:szCs w:val="24"/>
        </w:rPr>
        <w:t>кВ</w:t>
      </w:r>
      <w:proofErr w:type="spellEnd"/>
      <w:r w:rsidR="00F10E64" w:rsidRPr="00F10E64">
        <w:rPr>
          <w:b/>
          <w:i/>
          <w:sz w:val="24"/>
          <w:szCs w:val="24"/>
        </w:rPr>
        <w:t xml:space="preserve"> "1Р-ТЭЦ "Восточная", "2Р-ТЭЦ "Восточная", "СИ-ТЭЦ "Восточная", "Зеленый угол-ТЭЦ "Восточная"» для нужд филиала ОАО «ДРСК»</w:t>
      </w:r>
    </w:p>
    <w:p w:rsidR="003C690B" w:rsidRPr="00C02479" w:rsidRDefault="00F10E64" w:rsidP="00F10E64">
      <w:pPr>
        <w:spacing w:line="240" w:lineRule="auto"/>
        <w:ind w:firstLine="0"/>
        <w:rPr>
          <w:sz w:val="24"/>
          <w:szCs w:val="24"/>
        </w:rPr>
      </w:pPr>
      <w:r w:rsidRPr="00F10E64">
        <w:rPr>
          <w:b/>
          <w:i/>
          <w:sz w:val="24"/>
          <w:szCs w:val="24"/>
        </w:rPr>
        <w:t xml:space="preserve"> «Приморские ЭС»</w:t>
      </w:r>
      <w:r w:rsidR="003C690B" w:rsidRPr="00C02479">
        <w:rPr>
          <w:b/>
          <w:i/>
          <w:sz w:val="24"/>
          <w:szCs w:val="24"/>
        </w:rPr>
        <w:t>.</w:t>
      </w:r>
    </w:p>
    <w:p w:rsidR="00F10E64" w:rsidRPr="00F10E64" w:rsidRDefault="00F10E64" w:rsidP="00F10E64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10E64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1</w:t>
      </w:r>
      <w:r w:rsidRPr="00F10E64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 w:rsidRPr="00F10E64">
        <w:rPr>
          <w:bCs/>
          <w:iCs/>
          <w:snapToGrid/>
          <w:sz w:val="24"/>
          <w:szCs w:val="24"/>
        </w:rPr>
        <w:t>ТПиР</w:t>
      </w:r>
      <w:proofErr w:type="spellEnd"/>
      <w:r w:rsidRPr="00F10E64">
        <w:rPr>
          <w:bCs/>
          <w:iCs/>
          <w:snapToGrid/>
          <w:sz w:val="24"/>
          <w:szCs w:val="24"/>
        </w:rPr>
        <w:t xml:space="preserve">»  № </w:t>
      </w:r>
      <w:r>
        <w:rPr>
          <w:bCs/>
          <w:iCs/>
          <w:snapToGrid/>
          <w:sz w:val="24"/>
          <w:szCs w:val="24"/>
        </w:rPr>
        <w:t>499</w:t>
      </w:r>
      <w:r w:rsidRPr="00F10E64">
        <w:rPr>
          <w:bCs/>
          <w:iCs/>
          <w:snapToGrid/>
          <w:sz w:val="24"/>
          <w:szCs w:val="24"/>
        </w:rPr>
        <w:t xml:space="preserve"> на основании приказа ОАО «ДРСК» от  </w:t>
      </w:r>
      <w:r>
        <w:rPr>
          <w:bCs/>
          <w:iCs/>
          <w:snapToGrid/>
          <w:sz w:val="24"/>
          <w:szCs w:val="24"/>
        </w:rPr>
        <w:t>21</w:t>
      </w:r>
      <w:r w:rsidRPr="00F10E64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2</w:t>
      </w:r>
      <w:r w:rsidRPr="00F10E64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47</w:t>
      </w:r>
      <w:r w:rsidRPr="00F10E64">
        <w:rPr>
          <w:bCs/>
          <w:iCs/>
          <w:snapToGrid/>
          <w:sz w:val="24"/>
          <w:szCs w:val="24"/>
        </w:rPr>
        <w:t>.</w:t>
      </w:r>
    </w:p>
    <w:p w:rsidR="00F10E64" w:rsidRPr="00F10E64" w:rsidRDefault="00F10E64" w:rsidP="00F10E6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10E64">
        <w:rPr>
          <w:bCs/>
          <w:iCs/>
          <w:snapToGrid/>
          <w:sz w:val="24"/>
          <w:szCs w:val="24"/>
        </w:rPr>
        <w:t xml:space="preserve">          Плановая стоимость закупки: </w:t>
      </w:r>
      <w:r w:rsidRPr="00F10E64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bCs/>
          <w:i/>
          <w:iCs/>
          <w:snapToGrid/>
          <w:sz w:val="24"/>
          <w:szCs w:val="24"/>
        </w:rPr>
        <w:t>12 495 681, 4 руб. без НДС.</w:t>
      </w:r>
    </w:p>
    <w:p w:rsidR="003C690B" w:rsidRDefault="003C690B" w:rsidP="00C02479">
      <w:pPr>
        <w:pStyle w:val="2"/>
        <w:rPr>
          <w:bCs/>
          <w:caps/>
          <w:sz w:val="24"/>
        </w:rPr>
      </w:pPr>
    </w:p>
    <w:p w:rsidR="00F10E64" w:rsidRPr="00C02479" w:rsidRDefault="00F10E64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6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F10E64" w:rsidRPr="00F10E64" w:rsidRDefault="00F10E64" w:rsidP="00F10E64">
      <w:pPr>
        <w:spacing w:line="240" w:lineRule="auto"/>
        <w:rPr>
          <w:caps/>
          <w:snapToGrid/>
          <w:sz w:val="24"/>
          <w:szCs w:val="24"/>
        </w:rPr>
      </w:pPr>
      <w:r w:rsidRPr="00F10E6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10E64" w:rsidRPr="00F10E64" w:rsidRDefault="00F10E64" w:rsidP="00F10E64">
      <w:pPr>
        <w:spacing w:line="240" w:lineRule="auto"/>
        <w:rPr>
          <w:snapToGrid/>
          <w:sz w:val="24"/>
          <w:szCs w:val="24"/>
        </w:rPr>
      </w:pPr>
      <w:r w:rsidRPr="00F10E64">
        <w:rPr>
          <w:snapToGrid/>
          <w:sz w:val="24"/>
          <w:szCs w:val="24"/>
        </w:rPr>
        <w:t>1.</w:t>
      </w:r>
      <w:r w:rsidRPr="00F10E64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10E6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10E64">
        <w:rPr>
          <w:bCs/>
          <w:iCs/>
          <w:snapToGrid/>
          <w:sz w:val="24"/>
          <w:szCs w:val="24"/>
        </w:rPr>
        <w:t xml:space="preserve"> условиям закупки</w:t>
      </w:r>
    </w:p>
    <w:p w:rsidR="00F10E64" w:rsidRPr="00F10E64" w:rsidRDefault="00F10E64" w:rsidP="00F10E64">
      <w:pPr>
        <w:spacing w:line="240" w:lineRule="auto"/>
        <w:rPr>
          <w:bCs/>
          <w:iCs/>
          <w:snapToGrid/>
          <w:sz w:val="24"/>
          <w:szCs w:val="24"/>
        </w:rPr>
      </w:pPr>
      <w:r w:rsidRPr="00F10E64">
        <w:rPr>
          <w:snapToGrid/>
          <w:sz w:val="24"/>
          <w:szCs w:val="24"/>
        </w:rPr>
        <w:t>2.</w:t>
      </w:r>
      <w:r w:rsidRPr="00F10E64">
        <w:rPr>
          <w:bCs/>
          <w:iCs/>
          <w:snapToGrid/>
          <w:sz w:val="24"/>
          <w:szCs w:val="24"/>
        </w:rPr>
        <w:t xml:space="preserve"> О </w:t>
      </w:r>
      <w:proofErr w:type="gramStart"/>
      <w:r w:rsidRPr="00F10E6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10E6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10E64">
        <w:rPr>
          <w:bCs/>
          <w:iCs/>
          <w:snapToGrid/>
          <w:sz w:val="24"/>
          <w:szCs w:val="24"/>
        </w:rPr>
        <w:t>ранжировке</w:t>
      </w:r>
      <w:proofErr w:type="spellEnd"/>
      <w:r w:rsidRPr="00F10E64">
        <w:rPr>
          <w:bCs/>
          <w:iCs/>
          <w:snapToGrid/>
          <w:sz w:val="24"/>
          <w:szCs w:val="24"/>
        </w:rPr>
        <w:t xml:space="preserve"> предложений</w:t>
      </w:r>
    </w:p>
    <w:p w:rsidR="00F10E64" w:rsidRPr="00F10E64" w:rsidRDefault="00F10E64" w:rsidP="00F10E64">
      <w:pPr>
        <w:spacing w:line="240" w:lineRule="auto"/>
        <w:rPr>
          <w:bCs/>
          <w:iCs/>
          <w:snapToGrid/>
          <w:sz w:val="24"/>
          <w:szCs w:val="24"/>
        </w:rPr>
      </w:pPr>
      <w:r w:rsidRPr="00F10E64">
        <w:rPr>
          <w:bCs/>
          <w:iCs/>
          <w:snapToGrid/>
          <w:sz w:val="24"/>
          <w:szCs w:val="24"/>
        </w:rPr>
        <w:t>3. О проведении переторжки</w:t>
      </w:r>
    </w:p>
    <w:p w:rsidR="00F10E64" w:rsidRPr="00F10E64" w:rsidRDefault="00F10E64" w:rsidP="00F10E64">
      <w:pPr>
        <w:spacing w:line="240" w:lineRule="auto"/>
        <w:rPr>
          <w:snapToGrid/>
          <w:sz w:val="24"/>
          <w:szCs w:val="24"/>
        </w:rPr>
      </w:pPr>
      <w:r w:rsidRPr="00F10E64">
        <w:rPr>
          <w:bCs/>
          <w:iCs/>
          <w:snapToGrid/>
          <w:sz w:val="24"/>
          <w:szCs w:val="24"/>
        </w:rPr>
        <w:t xml:space="preserve">4. О </w:t>
      </w:r>
      <w:proofErr w:type="spellStart"/>
      <w:r w:rsidRPr="00F10E64">
        <w:rPr>
          <w:bCs/>
          <w:iCs/>
          <w:snapToGrid/>
          <w:sz w:val="24"/>
          <w:szCs w:val="24"/>
        </w:rPr>
        <w:t>ранжировке</w:t>
      </w:r>
      <w:proofErr w:type="spellEnd"/>
      <w:r w:rsidRPr="00F10E64">
        <w:rPr>
          <w:bCs/>
          <w:iCs/>
          <w:snapToGrid/>
          <w:sz w:val="24"/>
          <w:szCs w:val="24"/>
        </w:rPr>
        <w:t xml:space="preserve"> предложений Участников закупки.  Выбор победителя</w:t>
      </w:r>
    </w:p>
    <w:p w:rsidR="00F10E64" w:rsidRPr="00F10E64" w:rsidRDefault="00F10E64" w:rsidP="00F10E64">
      <w:pPr>
        <w:spacing w:line="240" w:lineRule="auto"/>
        <w:ind w:firstLine="0"/>
        <w:rPr>
          <w:snapToGrid/>
          <w:sz w:val="24"/>
          <w:szCs w:val="24"/>
        </w:rPr>
      </w:pPr>
    </w:p>
    <w:p w:rsidR="00F10E64" w:rsidRPr="00F10E64" w:rsidRDefault="00F10E64" w:rsidP="00F10E64">
      <w:pPr>
        <w:spacing w:line="240" w:lineRule="auto"/>
        <w:ind w:firstLine="0"/>
        <w:rPr>
          <w:snapToGrid/>
          <w:sz w:val="24"/>
          <w:szCs w:val="24"/>
        </w:rPr>
      </w:pPr>
      <w:r w:rsidRPr="00F10E64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10E6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10E64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ОТМЕТИЛИ: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 xml:space="preserve">1. </w:t>
      </w:r>
      <w:proofErr w:type="gramStart"/>
      <w:r w:rsidRPr="00F10E64">
        <w:rPr>
          <w:sz w:val="24"/>
          <w:szCs w:val="24"/>
        </w:rPr>
        <w:t xml:space="preserve">Предложения </w:t>
      </w:r>
      <w:r w:rsidRPr="00F10E64">
        <w:rPr>
          <w:b/>
          <w:i/>
          <w:sz w:val="24"/>
        </w:rPr>
        <w:t>ООО «</w:t>
      </w:r>
      <w:proofErr w:type="spellStart"/>
      <w:r w:rsidRPr="00F10E64">
        <w:rPr>
          <w:b/>
          <w:i/>
          <w:sz w:val="24"/>
        </w:rPr>
        <w:t>Союзэнергопроект</w:t>
      </w:r>
      <w:proofErr w:type="spellEnd"/>
      <w:r w:rsidRPr="00F10E64">
        <w:rPr>
          <w:b/>
          <w:i/>
          <w:sz w:val="24"/>
        </w:rPr>
        <w:t xml:space="preserve">» г. Москва,  ООО «ДВ </w:t>
      </w:r>
      <w:proofErr w:type="spellStart"/>
      <w:r w:rsidRPr="00F10E64">
        <w:rPr>
          <w:b/>
          <w:i/>
          <w:sz w:val="24"/>
        </w:rPr>
        <w:t>Энергосервис</w:t>
      </w:r>
      <w:proofErr w:type="spellEnd"/>
      <w:r w:rsidRPr="00F10E64">
        <w:rPr>
          <w:b/>
          <w:i/>
          <w:sz w:val="24"/>
        </w:rPr>
        <w:t>» г. Владивосток,  ООО «Северный Стандарт» г. Москва,  ООО  УК «</w:t>
      </w:r>
      <w:proofErr w:type="spellStart"/>
      <w:r w:rsidRPr="00F10E64">
        <w:rPr>
          <w:b/>
          <w:i/>
          <w:sz w:val="24"/>
        </w:rPr>
        <w:t>РусЭнергоМир</w:t>
      </w:r>
      <w:proofErr w:type="spellEnd"/>
      <w:r w:rsidRPr="00F10E64">
        <w:rPr>
          <w:b/>
          <w:i/>
          <w:sz w:val="24"/>
        </w:rPr>
        <w:t>» г. Новосибирск,  ООО «ЦЭСП» г. Новосибирск,  ООО «ПМК Сибири» г. Красноярск,  ОАО «ДЭСП» г. Владивосток</w:t>
      </w:r>
      <w:r w:rsidRPr="00F10E64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F10E64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F10E64" w:rsidRPr="00F10E64" w:rsidRDefault="00F10E64" w:rsidP="00F10E6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10E64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F10E6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F10E6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10E64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F10E64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ОТМЕТИЛИ: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F10E64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F10E6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10E64">
              <w:rPr>
                <w:i/>
                <w:sz w:val="18"/>
                <w:szCs w:val="18"/>
              </w:rPr>
              <w:lastRenderedPageBreak/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lastRenderedPageBreak/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10E64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>" (690074, Приморский край, г. Владивосток, ул. Снеговая, д. 42 "Д", оф. 4)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7 500 000,00 руб. без учета НДС. Условия выполнения работ: с момента подписания договора до 15 ноября 2013г. Условия оплаты: Без аванса. Текущие платежи выплачиваются Заказчиком за выполненный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>" (117437, г. Москва, ул. Арцимовича Академика, д. 12, корп. 2)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7 878 750,50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8 725 933,98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до 10 мая 2013г.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УК "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РусЭнергоМир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 xml:space="preserve">" (630096, </w:t>
            </w:r>
            <w:proofErr w:type="gramStart"/>
            <w:r w:rsidRPr="00F10E64">
              <w:rPr>
                <w:b/>
                <w:i/>
                <w:sz w:val="22"/>
                <w:szCs w:val="22"/>
              </w:rPr>
              <w:t>Новосибирская</w:t>
            </w:r>
            <w:proofErr w:type="gramEnd"/>
            <w:r w:rsidRPr="00F10E64">
              <w:rPr>
                <w:b/>
                <w:i/>
                <w:sz w:val="22"/>
                <w:szCs w:val="22"/>
              </w:rPr>
              <w:t xml:space="preserve"> обл., г. Новосибирск, ул. Станционная, д. 46 б)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8 921 646,44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5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"ЦЭСП" (630111, Новосибирская область, г. Новосибирск, ул. Кропоткина, д. 271, этаж 8)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8 999 250,00 руб. без учета НДС. Условия поставки: с момента подписания договора до 15 ноября 2013 г. Условия оплаты:  10% от стоимости договора, оставшиеся платеж в течение 30 календарных дней с момента подписания актов выполненных работ обеими сторонами</w:t>
            </w:r>
            <w:proofErr w:type="gramStart"/>
            <w:r w:rsidRPr="00F10E64">
              <w:rPr>
                <w:sz w:val="22"/>
                <w:szCs w:val="22"/>
              </w:rPr>
              <w:t xml:space="preserve">.. </w:t>
            </w:r>
            <w:proofErr w:type="gramEnd"/>
            <w:r w:rsidRPr="00F10E64">
              <w:rPr>
                <w:sz w:val="22"/>
                <w:szCs w:val="22"/>
              </w:rPr>
              <w:t>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6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"ПМК Сибири" (660032, Красноярский край, г. Красноярск, ул. Белинского, д. 5, 3 этаж</w:t>
            </w:r>
            <w:proofErr w:type="gramStart"/>
            <w:r w:rsidRPr="00F10E64">
              <w:rPr>
                <w:b/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 xml:space="preserve">Цена: 10 000 000,00 руб. без учета НДС. Условия поставки: с момента подписания договора до 15 ноября 2013 г. Условия оплаты:  Оплата  производится за каждый выполненный этап с оформлением акта сдачи-приемки выполненных работ по этапу и счета, с последующим оформлением счета фактуры. Расчет производится путем перечисления денежных средств на расчетный счет Подрядчика в течение 30 </w:t>
            </w:r>
            <w:r w:rsidRPr="00F10E64">
              <w:rPr>
                <w:sz w:val="22"/>
                <w:szCs w:val="22"/>
              </w:rPr>
              <w:lastRenderedPageBreak/>
              <w:t>календарных дней с момента подписания актов сдачи-приемки выполненных работ обеими сторонами</w:t>
            </w:r>
            <w:proofErr w:type="gramStart"/>
            <w:r w:rsidRPr="00F10E64">
              <w:rPr>
                <w:sz w:val="22"/>
                <w:szCs w:val="22"/>
              </w:rPr>
              <w:t xml:space="preserve">.. </w:t>
            </w:r>
            <w:proofErr w:type="gramEnd"/>
            <w:r w:rsidRPr="00F10E64">
              <w:rPr>
                <w:sz w:val="22"/>
                <w:szCs w:val="22"/>
              </w:rPr>
              <w:t>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lastRenderedPageBreak/>
              <w:t>7 место</w:t>
            </w:r>
          </w:p>
        </w:tc>
        <w:tc>
          <w:tcPr>
            <w:tcW w:w="2067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708"/>
              <w:jc w:val="left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ОАО "ДЭСП" (690106 Приморский край, г. Владивосток, Партизанский пр., 26)</w:t>
            </w:r>
          </w:p>
        </w:tc>
        <w:tc>
          <w:tcPr>
            <w:tcW w:w="5446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12 000 000,00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до 13 мая 2013г.</w:t>
            </w:r>
          </w:p>
        </w:tc>
      </w:tr>
    </w:tbl>
    <w:p w:rsidR="00F10E64" w:rsidRPr="00F10E64" w:rsidRDefault="00F10E64" w:rsidP="00F10E64">
      <w:pPr>
        <w:spacing w:line="240" w:lineRule="auto"/>
        <w:ind w:left="1134"/>
        <w:rPr>
          <w:sz w:val="24"/>
          <w:szCs w:val="24"/>
        </w:rPr>
      </w:pPr>
    </w:p>
    <w:p w:rsidR="00F10E64" w:rsidRPr="00F10E64" w:rsidRDefault="00F10E64" w:rsidP="00F10E64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10E64" w:rsidRPr="00F10E64" w:rsidRDefault="00F10E64" w:rsidP="00F10E6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10E64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ОТМЕТИЛИ: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pBdr>
          <w:bottom w:val="single" w:sz="12" w:space="1" w:color="auto"/>
        </w:pBdr>
        <w:spacing w:line="240" w:lineRule="auto"/>
        <w:rPr>
          <w:i/>
          <w:sz w:val="24"/>
          <w:szCs w:val="24"/>
          <w:highlight w:val="yellow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10E64">
        <w:rPr>
          <w:bCs/>
          <w:i/>
          <w:iCs/>
          <w:snapToGrid/>
          <w:sz w:val="24"/>
          <w:szCs w:val="24"/>
        </w:rPr>
        <w:t xml:space="preserve">ВОПРОС 4 «О </w:t>
      </w:r>
      <w:proofErr w:type="spellStart"/>
      <w:r w:rsidRPr="00F10E64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F10E64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ОТМЕТИЛИ: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10E64" w:rsidRPr="00F10E64" w:rsidTr="00FA42ED">
        <w:tc>
          <w:tcPr>
            <w:tcW w:w="1134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10E64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0E64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10E64" w:rsidRPr="00F10E64" w:rsidTr="00FA42ED">
        <w:tc>
          <w:tcPr>
            <w:tcW w:w="1134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10E64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>" (690074, Приморский край, г. Владивосток, ул. Снеговая, д. 42 "Д", оф. 4)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 xml:space="preserve">Разработка проектно-сметной документации по объекту «Строительство КЛ 110 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 xml:space="preserve"> "1Р-ТЭЦ "Восточная", "2Р-ТЭЦ "Восточная", "СИ-ТЭЦ "Восточная", "Зеленый угол-ТЭЦ "Восточная"» для нужд филиала ОАО «ДРСК»</w:t>
            </w:r>
          </w:p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 xml:space="preserve"> «Приморские ЭС</w:t>
            </w:r>
          </w:p>
        </w:tc>
        <w:tc>
          <w:tcPr>
            <w:tcW w:w="1701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10E64">
              <w:rPr>
                <w:b/>
                <w:sz w:val="22"/>
                <w:szCs w:val="22"/>
              </w:rPr>
              <w:t>7 500 000,00</w:t>
            </w:r>
          </w:p>
        </w:tc>
        <w:tc>
          <w:tcPr>
            <w:tcW w:w="283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 xml:space="preserve">Цена: 7 500 000,00 руб. без учета НДС. Условия выполнения работ: с момента подписания договора до 15 ноября 2013г. Условия оплаты: Без аванса. Текущие платежи выплачиваются Заказчиком за выполненный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</w:t>
            </w:r>
            <w:r w:rsidRPr="00F10E64">
              <w:rPr>
                <w:sz w:val="22"/>
                <w:szCs w:val="22"/>
              </w:rPr>
              <w:lastRenderedPageBreak/>
              <w:t>вскрытия конвертов.</w:t>
            </w:r>
          </w:p>
        </w:tc>
      </w:tr>
      <w:tr w:rsidR="00F10E64" w:rsidRPr="00F10E64" w:rsidTr="00FA42ED">
        <w:tc>
          <w:tcPr>
            <w:tcW w:w="1134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F10E64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F10E64">
              <w:rPr>
                <w:b/>
                <w:i/>
                <w:sz w:val="22"/>
                <w:szCs w:val="22"/>
              </w:rPr>
              <w:t>" (117437, г. Москва, ул. Арцимовича Академика, д. 12, корп. 2)</w:t>
            </w:r>
          </w:p>
        </w:tc>
        <w:tc>
          <w:tcPr>
            <w:tcW w:w="1843" w:type="dxa"/>
            <w:vMerge/>
            <w:shd w:val="clear" w:color="auto" w:fill="auto"/>
          </w:tcPr>
          <w:p w:rsidR="00F10E64" w:rsidRPr="00F10E64" w:rsidRDefault="00F10E64" w:rsidP="00F10E6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10E64">
              <w:rPr>
                <w:b/>
                <w:sz w:val="22"/>
                <w:szCs w:val="22"/>
              </w:rPr>
              <w:t>7 878 750,50</w:t>
            </w:r>
          </w:p>
        </w:tc>
        <w:tc>
          <w:tcPr>
            <w:tcW w:w="283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7 878 750,50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вскрытия конвертов.</w:t>
            </w:r>
          </w:p>
        </w:tc>
      </w:tr>
      <w:tr w:rsidR="00F10E64" w:rsidRPr="00F10E64" w:rsidTr="00FA42ED">
        <w:tc>
          <w:tcPr>
            <w:tcW w:w="1134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10E64">
              <w:rPr>
                <w:b/>
                <w:i/>
                <w:sz w:val="22"/>
                <w:szCs w:val="22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1843" w:type="dxa"/>
            <w:vMerge/>
            <w:shd w:val="clear" w:color="auto" w:fill="auto"/>
          </w:tcPr>
          <w:p w:rsidR="00F10E64" w:rsidRPr="00F10E64" w:rsidRDefault="00F10E64" w:rsidP="00F10E6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10E64">
              <w:rPr>
                <w:b/>
                <w:sz w:val="22"/>
                <w:szCs w:val="22"/>
              </w:rPr>
              <w:t>8 725 933,98</w:t>
            </w:r>
          </w:p>
        </w:tc>
        <w:tc>
          <w:tcPr>
            <w:tcW w:w="2835" w:type="dxa"/>
            <w:shd w:val="clear" w:color="auto" w:fill="auto"/>
          </w:tcPr>
          <w:p w:rsidR="00F10E64" w:rsidRPr="00F10E64" w:rsidRDefault="00F10E64" w:rsidP="00F10E6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10E64">
              <w:rPr>
                <w:sz w:val="22"/>
                <w:szCs w:val="22"/>
              </w:rPr>
              <w:t>Цена: 8 725 933,98 руб. без учета НДС. Условия поставки: с момента подписания договора до 15 ноября 2013 г. Условия оплаты:  без аванса,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до 10 мая 2013г.</w:t>
            </w:r>
          </w:p>
        </w:tc>
      </w:tr>
    </w:tbl>
    <w:p w:rsidR="00F10E64" w:rsidRPr="00F10E64" w:rsidRDefault="00F10E64" w:rsidP="00F10E64">
      <w:pPr>
        <w:spacing w:line="240" w:lineRule="auto"/>
        <w:ind w:left="1134"/>
        <w:rPr>
          <w:sz w:val="24"/>
          <w:szCs w:val="24"/>
        </w:rPr>
      </w:pPr>
    </w:p>
    <w:p w:rsidR="00F10E64" w:rsidRPr="00F10E64" w:rsidRDefault="00F10E64" w:rsidP="00F10E64">
      <w:pPr>
        <w:suppressAutoHyphens/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uppressAutoHyphens/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 xml:space="preserve">На основании вышеприведенной </w:t>
      </w:r>
      <w:proofErr w:type="spellStart"/>
      <w:r w:rsidRPr="00F10E64">
        <w:rPr>
          <w:sz w:val="24"/>
          <w:szCs w:val="24"/>
        </w:rPr>
        <w:t>ранжировки</w:t>
      </w:r>
      <w:proofErr w:type="spellEnd"/>
      <w:r w:rsidRPr="00F10E6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F10E64">
        <w:rPr>
          <w:b/>
          <w:i/>
          <w:sz w:val="24"/>
        </w:rPr>
        <w:t xml:space="preserve">ООО "ДВ </w:t>
      </w:r>
      <w:proofErr w:type="spellStart"/>
      <w:r w:rsidRPr="00F10E64">
        <w:rPr>
          <w:b/>
          <w:i/>
          <w:sz w:val="24"/>
        </w:rPr>
        <w:t>Энергосервис</w:t>
      </w:r>
      <w:proofErr w:type="spellEnd"/>
      <w:r w:rsidRPr="00F10E64">
        <w:rPr>
          <w:b/>
          <w:i/>
          <w:sz w:val="24"/>
        </w:rPr>
        <w:t>" (690074, Приморский край, г. Владивосток, ул. Снеговая, д. 42 "Д", оф. 4)</w:t>
      </w:r>
      <w:r w:rsidRPr="00F10E64">
        <w:rPr>
          <w:sz w:val="24"/>
          <w:szCs w:val="24"/>
        </w:rPr>
        <w:t>, предложение на выполнение работ:</w:t>
      </w:r>
      <w:proofErr w:type="gramEnd"/>
      <w:r w:rsidRPr="00F10E64">
        <w:rPr>
          <w:bCs/>
          <w:sz w:val="26"/>
          <w:szCs w:val="26"/>
        </w:rPr>
        <w:t xml:space="preserve"> </w:t>
      </w:r>
      <w:r w:rsidRPr="00F10E64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КЛ 110 </w:t>
      </w:r>
      <w:proofErr w:type="spellStart"/>
      <w:r w:rsidRPr="00F10E64">
        <w:rPr>
          <w:b/>
          <w:i/>
          <w:sz w:val="24"/>
          <w:szCs w:val="24"/>
        </w:rPr>
        <w:t>кВ</w:t>
      </w:r>
      <w:proofErr w:type="spellEnd"/>
      <w:r w:rsidRPr="00F10E64">
        <w:rPr>
          <w:b/>
          <w:i/>
          <w:sz w:val="24"/>
          <w:szCs w:val="24"/>
        </w:rPr>
        <w:t xml:space="preserve"> "1Р-ТЭЦ "Восточная", "2Р-ТЭЦ "Восточная", "СИ-ТЭЦ "Восточная", "Зеленый угол-ТЭЦ "Восточная"» для нужд филиала ОАО «ДРСК»  «Приморские ЭС» </w:t>
      </w:r>
      <w:r w:rsidRPr="00F10E64">
        <w:rPr>
          <w:sz w:val="24"/>
          <w:szCs w:val="24"/>
        </w:rPr>
        <w:t xml:space="preserve">на общую сумму – </w:t>
      </w:r>
      <w:r w:rsidRPr="00F10E64">
        <w:rPr>
          <w:b/>
          <w:sz w:val="24"/>
          <w:szCs w:val="24"/>
        </w:rPr>
        <w:t>7 500 000,00</w:t>
      </w:r>
      <w:r w:rsidRPr="00F10E64">
        <w:rPr>
          <w:sz w:val="24"/>
          <w:szCs w:val="24"/>
        </w:rPr>
        <w:t xml:space="preserve"> руб. без НДС. Условия выполнения работ: с момента подписания договора до 15 ноября 2013г. Условия оплаты: Без аванса. Текущие платежи выплачиваются Заказчиком за выполненный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</w:t>
      </w:r>
      <w:r w:rsidRPr="00F10E64">
        <w:rPr>
          <w:sz w:val="24"/>
          <w:szCs w:val="24"/>
        </w:rPr>
        <w:lastRenderedPageBreak/>
        <w:t>акта выполненных работ обеими сторонами за этап. Срок действия предложения 60 календарных дней со дня, следующего за днем вскрытия конвертов.</w:t>
      </w: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</w:p>
    <w:p w:rsidR="00F10E64" w:rsidRPr="00F10E64" w:rsidRDefault="00F10E64" w:rsidP="00F10E64">
      <w:pPr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>РЕШИЛИ:</w:t>
      </w:r>
    </w:p>
    <w:p w:rsidR="00F10E64" w:rsidRPr="00F10E64" w:rsidRDefault="00F10E64" w:rsidP="00F10E64">
      <w:pPr>
        <w:numPr>
          <w:ilvl w:val="0"/>
          <w:numId w:val="11"/>
        </w:numPr>
        <w:suppressAutoHyphens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F10E64">
        <w:rPr>
          <w:sz w:val="24"/>
          <w:szCs w:val="24"/>
        </w:rPr>
        <w:t>Признать предложения ООО «</w:t>
      </w:r>
      <w:proofErr w:type="spellStart"/>
      <w:r w:rsidRPr="00F10E64">
        <w:rPr>
          <w:sz w:val="24"/>
          <w:szCs w:val="24"/>
        </w:rPr>
        <w:t>Союзэнергопроект</w:t>
      </w:r>
      <w:proofErr w:type="spellEnd"/>
      <w:r w:rsidRPr="00F10E64">
        <w:rPr>
          <w:sz w:val="24"/>
          <w:szCs w:val="24"/>
        </w:rPr>
        <w:t xml:space="preserve">» г. Москва,  ООО «ДВ </w:t>
      </w:r>
      <w:proofErr w:type="spellStart"/>
      <w:r w:rsidRPr="00F10E64">
        <w:rPr>
          <w:sz w:val="24"/>
          <w:szCs w:val="24"/>
        </w:rPr>
        <w:t>Энергосервис</w:t>
      </w:r>
      <w:proofErr w:type="spellEnd"/>
      <w:r w:rsidRPr="00F10E64">
        <w:rPr>
          <w:sz w:val="24"/>
          <w:szCs w:val="24"/>
        </w:rPr>
        <w:t>» г. Владивосток,  ООО «Северный Стандарт» г. Москва,  ООО  УК «</w:t>
      </w:r>
      <w:proofErr w:type="spellStart"/>
      <w:r w:rsidRPr="00F10E64">
        <w:rPr>
          <w:sz w:val="24"/>
          <w:szCs w:val="24"/>
        </w:rPr>
        <w:t>РусЭнергоМир</w:t>
      </w:r>
      <w:proofErr w:type="spellEnd"/>
      <w:r w:rsidRPr="00F10E64">
        <w:rPr>
          <w:sz w:val="24"/>
          <w:szCs w:val="24"/>
        </w:rPr>
        <w:t>» г. Новосибирск,  ООО «ЦЭСП» г. Новосибирск,  ООО «ПМК Сибири» г. Красноярск,  ОАО «ДЭСП» г. Владивосток  соответствующими условиям закупки.</w:t>
      </w:r>
      <w:proofErr w:type="gramEnd"/>
    </w:p>
    <w:p w:rsidR="00F10E64" w:rsidRPr="00F10E64" w:rsidRDefault="00F10E64" w:rsidP="00F10E64">
      <w:pPr>
        <w:numPr>
          <w:ilvl w:val="0"/>
          <w:numId w:val="11"/>
        </w:numPr>
        <w:spacing w:line="240" w:lineRule="auto"/>
        <w:ind w:left="993" w:hanging="426"/>
        <w:contextualSpacing/>
        <w:rPr>
          <w:sz w:val="24"/>
          <w:szCs w:val="24"/>
        </w:rPr>
      </w:pPr>
      <w:r w:rsidRPr="00F10E64">
        <w:rPr>
          <w:sz w:val="24"/>
          <w:szCs w:val="24"/>
        </w:rPr>
        <w:t xml:space="preserve">Утвердить </w:t>
      </w:r>
      <w:proofErr w:type="gramStart"/>
      <w:r w:rsidRPr="00F10E64">
        <w:rPr>
          <w:sz w:val="24"/>
          <w:szCs w:val="24"/>
        </w:rPr>
        <w:t>предварительную</w:t>
      </w:r>
      <w:proofErr w:type="gramEnd"/>
      <w:r w:rsidRPr="00F10E64">
        <w:rPr>
          <w:sz w:val="24"/>
          <w:szCs w:val="24"/>
        </w:rPr>
        <w:t xml:space="preserve"> </w:t>
      </w:r>
      <w:proofErr w:type="spellStart"/>
      <w:r w:rsidRPr="00F10E64">
        <w:rPr>
          <w:sz w:val="24"/>
          <w:szCs w:val="24"/>
        </w:rPr>
        <w:t>ранжировку</w:t>
      </w:r>
      <w:proofErr w:type="spellEnd"/>
      <w:r w:rsidRPr="00F10E64">
        <w:rPr>
          <w:sz w:val="24"/>
          <w:szCs w:val="24"/>
        </w:rPr>
        <w:t xml:space="preserve"> предложений с 1 по 3 место:</w:t>
      </w:r>
    </w:p>
    <w:p w:rsidR="00F10E64" w:rsidRPr="00F10E64" w:rsidRDefault="00F10E64" w:rsidP="00F10E64">
      <w:pPr>
        <w:spacing w:line="240" w:lineRule="auto"/>
        <w:ind w:left="567" w:firstLine="0"/>
        <w:rPr>
          <w:sz w:val="24"/>
          <w:szCs w:val="24"/>
        </w:rPr>
      </w:pPr>
      <w:r w:rsidRPr="00F10E64">
        <w:rPr>
          <w:sz w:val="24"/>
          <w:szCs w:val="24"/>
        </w:rPr>
        <w:t xml:space="preserve">   1 место: ООО «ДВ-</w:t>
      </w:r>
      <w:proofErr w:type="spellStart"/>
      <w:r w:rsidRPr="00F10E64">
        <w:rPr>
          <w:sz w:val="24"/>
          <w:szCs w:val="24"/>
        </w:rPr>
        <w:t>Энергосервис</w:t>
      </w:r>
      <w:proofErr w:type="spellEnd"/>
      <w:r w:rsidRPr="00F10E64">
        <w:rPr>
          <w:sz w:val="24"/>
          <w:szCs w:val="24"/>
        </w:rPr>
        <w:t>» г. Владивосток;</w:t>
      </w:r>
    </w:p>
    <w:p w:rsidR="00F10E64" w:rsidRPr="00F10E64" w:rsidRDefault="00F10E64" w:rsidP="00F10E64">
      <w:pPr>
        <w:spacing w:line="240" w:lineRule="auto"/>
        <w:ind w:left="567" w:firstLine="0"/>
        <w:rPr>
          <w:sz w:val="24"/>
          <w:szCs w:val="24"/>
        </w:rPr>
      </w:pPr>
      <w:r w:rsidRPr="00F10E64">
        <w:rPr>
          <w:sz w:val="24"/>
          <w:szCs w:val="24"/>
        </w:rPr>
        <w:t xml:space="preserve">   2 место: ООО "</w:t>
      </w:r>
      <w:proofErr w:type="spellStart"/>
      <w:r w:rsidRPr="00F10E64">
        <w:rPr>
          <w:sz w:val="24"/>
          <w:szCs w:val="24"/>
        </w:rPr>
        <w:t>Союзэнергопроект</w:t>
      </w:r>
      <w:proofErr w:type="spellEnd"/>
      <w:r w:rsidRPr="00F10E64">
        <w:rPr>
          <w:sz w:val="24"/>
          <w:szCs w:val="24"/>
        </w:rPr>
        <w:t>" г. Москва;</w:t>
      </w:r>
    </w:p>
    <w:p w:rsidR="00F10E64" w:rsidRPr="00F10E64" w:rsidRDefault="00F10E64" w:rsidP="00F10E64">
      <w:pPr>
        <w:spacing w:line="240" w:lineRule="auto"/>
        <w:ind w:left="567" w:firstLine="0"/>
        <w:rPr>
          <w:sz w:val="24"/>
          <w:szCs w:val="24"/>
        </w:rPr>
      </w:pPr>
      <w:r w:rsidRPr="00F10E64">
        <w:rPr>
          <w:sz w:val="24"/>
          <w:szCs w:val="24"/>
        </w:rPr>
        <w:t xml:space="preserve">   3 место: ООО "Северный Стандарт" г. Москва.</w:t>
      </w:r>
    </w:p>
    <w:p w:rsidR="00F10E64" w:rsidRPr="00F10E64" w:rsidRDefault="00F10E64" w:rsidP="00F10E64">
      <w:pPr>
        <w:numPr>
          <w:ilvl w:val="0"/>
          <w:numId w:val="11"/>
        </w:numPr>
        <w:spacing w:line="240" w:lineRule="auto"/>
        <w:ind w:left="993" w:right="-1" w:hanging="426"/>
        <w:rPr>
          <w:bCs/>
          <w:iCs/>
          <w:snapToGrid/>
          <w:sz w:val="24"/>
          <w:szCs w:val="24"/>
        </w:rPr>
      </w:pPr>
      <w:r w:rsidRPr="00F10E64">
        <w:rPr>
          <w:bCs/>
          <w:iCs/>
          <w:snapToGrid/>
          <w:sz w:val="24"/>
          <w:szCs w:val="24"/>
        </w:rPr>
        <w:t>Процедуру переторжки не проводить.</w:t>
      </w:r>
    </w:p>
    <w:p w:rsidR="00F10E64" w:rsidRPr="00F10E64" w:rsidRDefault="00F10E64" w:rsidP="00F10E64">
      <w:pPr>
        <w:suppressAutoHyphens/>
        <w:spacing w:line="240" w:lineRule="auto"/>
        <w:rPr>
          <w:sz w:val="24"/>
          <w:szCs w:val="24"/>
        </w:rPr>
      </w:pPr>
      <w:r w:rsidRPr="00F10E64">
        <w:rPr>
          <w:sz w:val="24"/>
          <w:szCs w:val="24"/>
        </w:rPr>
        <w:t xml:space="preserve">4.   Признать Победителем </w:t>
      </w:r>
      <w:r w:rsidRPr="00F10E64">
        <w:rPr>
          <w:b/>
          <w:i/>
          <w:sz w:val="24"/>
        </w:rPr>
        <w:t xml:space="preserve">ООО "ДВ </w:t>
      </w:r>
      <w:proofErr w:type="spellStart"/>
      <w:r w:rsidRPr="00F10E64">
        <w:rPr>
          <w:b/>
          <w:i/>
          <w:sz w:val="24"/>
        </w:rPr>
        <w:t>Энергосервис</w:t>
      </w:r>
      <w:proofErr w:type="spellEnd"/>
      <w:r w:rsidRPr="00F10E64">
        <w:rPr>
          <w:b/>
          <w:i/>
          <w:sz w:val="24"/>
        </w:rPr>
        <w:t xml:space="preserve">" (690074, Приморский край, г. Владивосток, ул. </w:t>
      </w:r>
      <w:proofErr w:type="gramStart"/>
      <w:r w:rsidRPr="00F10E64">
        <w:rPr>
          <w:b/>
          <w:i/>
          <w:sz w:val="24"/>
        </w:rPr>
        <w:t>Снеговая</w:t>
      </w:r>
      <w:proofErr w:type="gramEnd"/>
      <w:r w:rsidRPr="00F10E64">
        <w:rPr>
          <w:b/>
          <w:i/>
          <w:sz w:val="24"/>
        </w:rPr>
        <w:t>, д. 42 "Д", оф. 4)</w:t>
      </w:r>
      <w:r w:rsidRPr="00F10E64">
        <w:rPr>
          <w:sz w:val="24"/>
          <w:szCs w:val="24"/>
        </w:rPr>
        <w:t>, предложение на выполнение работ:</w:t>
      </w:r>
      <w:r w:rsidRPr="00F10E64">
        <w:rPr>
          <w:bCs/>
          <w:sz w:val="26"/>
          <w:szCs w:val="26"/>
        </w:rPr>
        <w:t xml:space="preserve"> </w:t>
      </w:r>
      <w:proofErr w:type="gramStart"/>
      <w:r w:rsidRPr="00F10E64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КЛ 110 </w:t>
      </w:r>
      <w:proofErr w:type="spellStart"/>
      <w:r w:rsidRPr="00F10E64">
        <w:rPr>
          <w:b/>
          <w:i/>
          <w:sz w:val="24"/>
          <w:szCs w:val="24"/>
        </w:rPr>
        <w:t>кВ</w:t>
      </w:r>
      <w:proofErr w:type="spellEnd"/>
      <w:r w:rsidRPr="00F10E64">
        <w:rPr>
          <w:b/>
          <w:i/>
          <w:sz w:val="24"/>
          <w:szCs w:val="24"/>
        </w:rPr>
        <w:t xml:space="preserve"> "1Р-ТЭЦ "Восточная", "2Р-ТЭЦ "Восточная", "СИ-ТЭЦ "Восточная", "Зеленый угол-ТЭЦ "Восточная"» для нужд филиала ОАО «ДРСК»  «Приморские ЭС» </w:t>
      </w:r>
      <w:r w:rsidRPr="00F10E64">
        <w:rPr>
          <w:sz w:val="24"/>
          <w:szCs w:val="24"/>
        </w:rPr>
        <w:t xml:space="preserve">на общую сумму – </w:t>
      </w:r>
      <w:r w:rsidRPr="00F10E64">
        <w:rPr>
          <w:b/>
          <w:sz w:val="24"/>
          <w:szCs w:val="24"/>
        </w:rPr>
        <w:t>7 500 000,00</w:t>
      </w:r>
      <w:r w:rsidRPr="00F10E64">
        <w:rPr>
          <w:sz w:val="24"/>
          <w:szCs w:val="24"/>
        </w:rPr>
        <w:t xml:space="preserve"> руб. без НДС</w:t>
      </w:r>
      <w:r w:rsidR="00732530">
        <w:rPr>
          <w:sz w:val="24"/>
          <w:szCs w:val="24"/>
        </w:rPr>
        <w:t>, итоговая стоимость предложения с НДС –</w:t>
      </w:r>
      <w:r w:rsidRPr="00F10E64">
        <w:rPr>
          <w:sz w:val="24"/>
          <w:szCs w:val="24"/>
        </w:rPr>
        <w:t xml:space="preserve"> </w:t>
      </w:r>
      <w:r w:rsidR="00732530" w:rsidRPr="00732530">
        <w:rPr>
          <w:b/>
          <w:sz w:val="24"/>
          <w:szCs w:val="24"/>
        </w:rPr>
        <w:t>8 850 000,00</w:t>
      </w:r>
      <w:r w:rsidR="00732530">
        <w:rPr>
          <w:sz w:val="24"/>
          <w:szCs w:val="24"/>
        </w:rPr>
        <w:t xml:space="preserve"> руб.</w:t>
      </w:r>
      <w:r w:rsidRPr="00F10E64">
        <w:rPr>
          <w:sz w:val="24"/>
          <w:szCs w:val="24"/>
        </w:rPr>
        <w:t>. Условия выполнения работ: с момента подписания договора до 15 ноября 2013г.</w:t>
      </w:r>
      <w:proofErr w:type="gramEnd"/>
      <w:r w:rsidRPr="00F10E64">
        <w:rPr>
          <w:sz w:val="24"/>
          <w:szCs w:val="24"/>
        </w:rPr>
        <w:t xml:space="preserve"> Условия оплаты: Без аванса. Текущие платежи выплачиваются Заказчиком за выполненный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выполненных работ обеими сторонами за этап. Срок действия предложения 60 календарных дней со дня, следующего за днем вскрытия конвертов.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</w:t>
            </w:r>
            <w:bookmarkStart w:id="2" w:name="_GoBack"/>
            <w:bookmarkEnd w:id="2"/>
            <w:r w:rsidRPr="00C02479">
              <w:rPr>
                <w:sz w:val="24"/>
              </w:rPr>
              <w:t>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F10E64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50" w:rsidRDefault="00ED6250" w:rsidP="00355095">
      <w:pPr>
        <w:spacing w:line="240" w:lineRule="auto"/>
      </w:pPr>
      <w:r>
        <w:separator/>
      </w:r>
    </w:p>
  </w:endnote>
  <w:endnote w:type="continuationSeparator" w:id="0">
    <w:p w:rsidR="00ED6250" w:rsidRDefault="00ED62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0D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0D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50" w:rsidRDefault="00ED6250" w:rsidP="00355095">
      <w:pPr>
        <w:spacing w:line="240" w:lineRule="auto"/>
      </w:pPr>
      <w:r>
        <w:separator/>
      </w:r>
    </w:p>
  </w:footnote>
  <w:footnote w:type="continuationSeparator" w:id="0">
    <w:p w:rsidR="00ED6250" w:rsidRDefault="00ED62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 565 раздел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12</cp:revision>
  <cp:lastPrinted>2013-03-28T04:38:00Z</cp:lastPrinted>
  <dcterms:created xsi:type="dcterms:W3CDTF">2013-03-05T03:51:00Z</dcterms:created>
  <dcterms:modified xsi:type="dcterms:W3CDTF">2013-03-28T04:40:00Z</dcterms:modified>
</cp:coreProperties>
</file>